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79AA">
      <w:pPr>
        <w:ind w:left="480" w:hanging="643" w:hangingChars="200"/>
        <w:jc w:val="left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附件一：美敦力手术动力系统维保服务服务要求及商务要求</w:t>
      </w:r>
    </w:p>
    <w:p w14:paraId="52651C0D">
      <w:pPr>
        <w:ind w:left="480" w:hanging="643" w:hangingChars="200"/>
        <w:jc w:val="left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</w:p>
    <w:p w14:paraId="62F61FA8">
      <w:pPr>
        <w:ind w:left="480" w:hanging="643" w:hanging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一、服务要求：</w:t>
      </w:r>
    </w:p>
    <w:p w14:paraId="351BA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1.服务内容：对美敦力手术动力系统全套设备提供维保服务。</w:t>
      </w:r>
    </w:p>
    <w:p w14:paraId="61459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2.开机率：保证至少95%开机率（一年按365天计算）</w:t>
      </w:r>
    </w:p>
    <w:p w14:paraId="38EA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3.备用件：维保期间，投标人能提供设备配套备用件。</w:t>
      </w:r>
    </w:p>
    <w:p w14:paraId="7B3D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4.维保期间，电话响应时间2 小时以内，需到现场维护的，到达现场时间48 小时以内。故障维修时间：简单故障（未更换零件）：48小时内；一般故障（更换常规零件）：5个工作日内；复杂故障(更换特殊配件或系统性故障)：10 个工作日内。维修超过 10 个工作日的投标人需根据科室要求提供具备相同功能的备用件。</w:t>
      </w:r>
    </w:p>
    <w:p w14:paraId="736A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5.定期巡检（每月至少1-2次）、远程服务、电话支持、现场服务，使用保养培训等。</w:t>
      </w:r>
    </w:p>
    <w:p w14:paraId="4743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6.提供年度维保养护记录。</w:t>
      </w:r>
    </w:p>
    <w:p w14:paraId="773C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7.维保合同期结束后一个月内，服务商按照采购人要求的格式向采购人提交《维保服务履约记录/报告》。</w:t>
      </w:r>
    </w:p>
    <w:p w14:paraId="16BA02A8">
      <w:pPr>
        <w:ind w:left="480" w:hanging="643" w:hanging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二、商务要求：</w:t>
      </w:r>
    </w:p>
    <w:p w14:paraId="7933901C">
      <w:p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（1）履约地点：宜宾市第二人民医院</w:t>
      </w:r>
    </w:p>
    <w:p w14:paraId="5872BAD7">
      <w:p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（2）服务期限：服务期三年，合同一年一签（在对供应商</w:t>
      </w:r>
    </w:p>
    <w:p w14:paraId="6FFF58C0">
      <w:p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履约服务年度考核合格的前提下，续签下一年维保合同）。</w:t>
      </w:r>
    </w:p>
    <w:p w14:paraId="782CAAF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若服务期内，因设备更新，停用，合同及服务自行终止，费</w:t>
      </w:r>
    </w:p>
    <w:p w14:paraId="3A4EAFA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用据实结算。</w:t>
      </w:r>
    </w:p>
    <w:p w14:paraId="32D45250">
      <w:pPr>
        <w:numPr>
          <w:ilvl w:val="0"/>
          <w:numId w:val="1"/>
        </w:num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服务期内由设备管理部门和使用科室进行考核，满分 </w:t>
      </w:r>
    </w:p>
    <w:p w14:paraId="4847F293">
      <w:pPr>
        <w:numPr>
          <w:ilvl w:val="0"/>
          <w:numId w:val="0"/>
        </w:numPr>
        <w:ind w:leftChars="-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 分， 得分 90 分以上为合格，得分 80-89 分为整改，并扣除2%的维保费用，&lt;80分为不合格，并扣除10%的维保费用。如一年内有两次整改或考核不合格，甲方有权终止合同。</w:t>
      </w:r>
    </w:p>
    <w:p w14:paraId="17096FD1">
      <w:pPr>
        <w:numPr>
          <w:ilvl w:val="0"/>
          <w:numId w:val="2"/>
        </w:num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付款方式：合同签订前由中标方支付合同总金额的5%</w:t>
      </w:r>
    </w:p>
    <w:p w14:paraId="549CF24E">
      <w:pPr>
        <w:numPr>
          <w:ilvl w:val="0"/>
          <w:numId w:val="0"/>
        </w:numPr>
        <w:ind w:leftChars="-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采购方作为履约保证金，合同签订后，按年度支付维保费用，每一年服务完成后经履约服务考核合格后，3个月内支付每年的维保金额。三年合同期满后采购方无息退还中标方5%履约保证金。若服务期内，因设备更新，停用，合同及服务自行终止，费用据实结算。</w:t>
      </w:r>
    </w:p>
    <w:p w14:paraId="4E62221D">
      <w:pPr>
        <w:numPr>
          <w:ilvl w:val="0"/>
          <w:numId w:val="3"/>
        </w:num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履约服务考核标准：</w:t>
      </w:r>
    </w:p>
    <w:p w14:paraId="4B728FE9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D41430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AB7A86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F82AB6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F28000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45206D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04AD40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9346EB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70E516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88"/>
        <w:gridCol w:w="1706"/>
        <w:gridCol w:w="990"/>
        <w:gridCol w:w="3688"/>
        <w:gridCol w:w="536"/>
        <w:gridCol w:w="742"/>
        <w:gridCol w:w="734"/>
      </w:tblGrid>
      <w:tr w14:paraId="0CB7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721" w:type="dxa"/>
            <w:gridSpan w:val="8"/>
            <w:shd w:val="clear" w:color="auto" w:fill="auto"/>
            <w:vAlign w:val="center"/>
          </w:tcPr>
          <w:p w14:paraId="041257F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40"/>
                <w:szCs w:val="40"/>
              </w:rPr>
              <w:t>履约服务考核标准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40"/>
                <w:szCs w:val="40"/>
                <w:lang w:eastAsia="zh-CN"/>
              </w:rPr>
              <w:t>明细表</w:t>
            </w:r>
          </w:p>
        </w:tc>
      </w:tr>
      <w:tr w14:paraId="5789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21" w:type="dxa"/>
            <w:gridSpan w:val="8"/>
            <w:shd w:val="clear" w:color="auto" w:fill="auto"/>
            <w:vAlign w:val="center"/>
          </w:tcPr>
          <w:p w14:paraId="14E6262D"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考核时间 :                                      考核得分:</w:t>
            </w:r>
          </w:p>
        </w:tc>
      </w:tr>
      <w:tr w14:paraId="0EDC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2DDF44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910E4F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类别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71615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考核细则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ADFE6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分值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FA28E1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评分标准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27CE39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扣分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原因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98CC8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扣分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F0FC38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得分</w:t>
            </w:r>
          </w:p>
        </w:tc>
      </w:tr>
      <w:tr w14:paraId="66DA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73A9E4D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1</w:t>
            </w:r>
          </w:p>
        </w:tc>
        <w:tc>
          <w:tcPr>
            <w:tcW w:w="588" w:type="dxa"/>
            <w:shd w:val="clear" w:color="auto" w:fill="auto"/>
            <w:textDirection w:val="tbRlV"/>
            <w:vAlign w:val="center"/>
          </w:tcPr>
          <w:p w14:paraId="79CBD93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一票否决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A178494"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是否发生设备漏电、造成人员伤亡等重大安全生产事故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AD9043B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79109AE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出现任何重大安全生产事故，一票否决，本次评定为不合格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，且由乙方承担相应全部责任。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8B365D7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14439ACA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20D8E608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 w14:paraId="769E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6A9290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588" w:type="dxa"/>
            <w:vMerge w:val="restart"/>
            <w:shd w:val="clear" w:color="auto" w:fill="auto"/>
            <w:textDirection w:val="tbRlV"/>
            <w:vAlign w:val="center"/>
          </w:tcPr>
          <w:p w14:paraId="2AD5B1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维保计划与响应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9F1CA9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维保计划制定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91A2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D431A8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制定详细、合理且符合设备使用情况的年度维保计划，包括定期维护的时间节点、具体维护项目、预期效果等内容，得 6 - 10 分。</w:t>
            </w:r>
          </w:p>
          <w:p w14:paraId="0B53F3B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维保计划基本完整，但存在部分项目不明确或时间安排不够合理，得 3 - 5 分。</w:t>
            </w:r>
          </w:p>
          <w:p w14:paraId="4671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未提供维保计划或计划内容严重缺失、不合理，得 0 - 2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929BEE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4C8D496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6A476C9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3EC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166341F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88" w:type="dxa"/>
            <w:vMerge w:val="continue"/>
            <w:shd w:val="clear" w:color="auto" w:fill="auto"/>
            <w:textDirection w:val="tbRlV"/>
            <w:vAlign w:val="center"/>
          </w:tcPr>
          <w:p w14:paraId="3DCD560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E7F2231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紧急维修响应时间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CE284A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A58473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在接到设备故障报修通知后，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小时内做出响应并到达现场，每次响应及时得 8 - 10 分。</w:t>
            </w:r>
          </w:p>
          <w:p w14:paraId="2FDBC7C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响应时间偶尔超出规定时间，但未对设备使用造成重大影响，得 4 - 7 分。</w:t>
            </w:r>
          </w:p>
          <w:p w14:paraId="0BEEE1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多次响应延迟，严重影响设备正常使用，得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ED0691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0915587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01BDAD1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572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47914198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588" w:type="dxa"/>
            <w:vMerge w:val="restart"/>
            <w:shd w:val="clear" w:color="auto" w:fill="auto"/>
            <w:textDirection w:val="tbRlV"/>
            <w:vAlign w:val="center"/>
          </w:tcPr>
          <w:p w14:paraId="0F2768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维护工作执行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E842AE3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定期维护工作完成情况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62EDB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FBC8EAD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按照维保计划，高质量完成各项定期维护工作，如设备清洁、校准、易损件更换等，维护记录完整、准确，得 12 - 15 分。</w:t>
            </w:r>
          </w:p>
          <w:p w14:paraId="5377B994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定期维护工作基本完成，但存在个别项目遗漏或记录不够详细，得 7 - 11 分。</w:t>
            </w:r>
          </w:p>
          <w:p w14:paraId="0C0F56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3、未能按时完成多项定期维护工作，或维护工作质量严重不达标，记录缺失严重，得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34D639E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687D3601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79736CA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90A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08AFDE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88" w:type="dxa"/>
            <w:vMerge w:val="continue"/>
            <w:shd w:val="clear" w:color="auto" w:fill="auto"/>
            <w:textDirection w:val="tbRlV"/>
            <w:vAlign w:val="center"/>
          </w:tcPr>
          <w:p w14:paraId="5BA851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DC61026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故障维修质量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79A72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23016D8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维修后设备能迅速恢复正常运行，且在规定时间内（如一周）无相同故障再次发生，维修记录详细，得 12 - 15 分。</w:t>
            </w:r>
          </w:p>
          <w:p w14:paraId="1BEED9D6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维修后设备可正常运行，但在短期内（一个月内）出现类似小故障，经再次维修解决，得 7 - 11 分。</w:t>
            </w:r>
          </w:p>
          <w:p w14:paraId="5E76C0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3、维修后设备仍频繁出现故障或故障未彻底解决，严重影响科室正常工作，得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1A3AC48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06D1FE0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7643B12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6ED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200DC996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588" w:type="dxa"/>
            <w:vMerge w:val="restart"/>
            <w:shd w:val="clear" w:color="auto" w:fill="auto"/>
            <w:textDirection w:val="tbRlV"/>
            <w:vAlign w:val="center"/>
          </w:tcPr>
          <w:p w14:paraId="4C78EC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设备运行状态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49DE5E6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设备开机率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5525FE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2F91D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1、考核周期内设备开机率达到 [95]% 及以上（开机率 = 设备正常运行时间 / 应运行时间 × 100%），得 12 - 15 分。</w:t>
            </w:r>
          </w:p>
          <w:p w14:paraId="18CA91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2、开机率在 [80]% - [90]% 之间，得 7 - 11 分。</w:t>
            </w:r>
          </w:p>
          <w:p w14:paraId="1503F8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3、开机率低于 [80]%，得 0-3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5A2DEFB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4929526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7726D6C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12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68076AC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88" w:type="dxa"/>
            <w:vMerge w:val="continue"/>
            <w:shd w:val="clear" w:color="auto" w:fill="auto"/>
            <w:textDirection w:val="tbRlV"/>
            <w:vAlign w:val="center"/>
          </w:tcPr>
          <w:p w14:paraId="369675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BDEB152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设备性能指标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AA2020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F0EC93D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设备关键性能指标（如激光能量稳定性、光斑均匀性等）始终符合设备出厂标准及临床使用要求，经定期检测数据正常，得 12 - 15 分。</w:t>
            </w:r>
          </w:p>
          <w:p w14:paraId="653B6DF8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部分性能指标偶尔出现轻微偏离，但不影响治疗效果，经调整后恢复正常，得 7 - 11 分。</w:t>
            </w:r>
          </w:p>
          <w:p w14:paraId="672A8F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3、性能指标严重偏离标准，影响治疗准确性与安全性，得 0 - 6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009CB9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3865E8D9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490AFC9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7FA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305AFA97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588" w:type="dxa"/>
            <w:shd w:val="clear" w:color="auto" w:fill="auto"/>
            <w:textDirection w:val="tbRlV"/>
            <w:vAlign w:val="center"/>
          </w:tcPr>
          <w:p w14:paraId="53F49E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配件管理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A21D3D6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配件供应及时性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CDC16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776A123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所需原装全新配件能在48小时供应到位，保证设备维修顺利进行，得 8 - 10 分。</w:t>
            </w:r>
          </w:p>
          <w:p w14:paraId="47042B0F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配件供应偶尔延迟，但未造成长时间设备停机，得 3 - 7 分。</w:t>
            </w:r>
          </w:p>
          <w:p w14:paraId="6AA1E42C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经常因配件供应问题导致设备维修延误，得 0 分。</w:t>
            </w:r>
          </w:p>
          <w:p w14:paraId="5469691B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 w:bidi="ar-SA"/>
              </w:rPr>
              <w:t>4、若发现不是原装全新配件，限3日内完成整改，拒不整改本期考核不合格，费用不予支付。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D42D37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73DDB6F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37F41B7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83B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06F6C393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588" w:type="dxa"/>
            <w:vMerge w:val="restart"/>
            <w:shd w:val="clear" w:color="auto" w:fill="auto"/>
            <w:textDirection w:val="tbRlV"/>
            <w:vAlign w:val="center"/>
          </w:tcPr>
          <w:p w14:paraId="2E18FB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服务态度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56D6913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服务态度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9A7A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01B71D0E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维保人员在工作过程中态度热情、专业、耐心，积极配合科室工作安排，得 4 - 5 分。</w:t>
            </w:r>
          </w:p>
          <w:p w14:paraId="50ECBEC1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服务态度一般，无明显不良行为，得 2 - 3 分。</w:t>
            </w:r>
          </w:p>
          <w:p w14:paraId="3657A3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3、服务态度差，与科室人员发生冲突，得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0D6F43D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3BC5451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4D03DC3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C22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50AE9D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88" w:type="dxa"/>
            <w:vMerge w:val="continue"/>
            <w:shd w:val="clear" w:color="auto" w:fill="auto"/>
            <w:textDirection w:val="tbRlV"/>
            <w:vAlign w:val="center"/>
          </w:tcPr>
          <w:p w14:paraId="066A20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EFB91A2">
            <w:pPr>
              <w:widowControl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沟通反馈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598B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79F66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1、定期与科室负责人及设备操作人员进行沟通，及时反馈设备维护情况、潜在问题及解决方案，得 4 - 5 分。</w:t>
            </w:r>
          </w:p>
          <w:p w14:paraId="1D4E9A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2、沟通较少，但在重要事项上能及时沟通，得 2 - 3 分。</w:t>
            </w:r>
          </w:p>
          <w:p w14:paraId="454EB8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3、缺乏主动沟通，信息传递不及时，影响设备管理与使用，得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6F8A5516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3F439AF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32A9FCD1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518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1" w:type="dxa"/>
            <w:gridSpan w:val="8"/>
            <w:shd w:val="clear" w:color="auto" w:fill="auto"/>
            <w:vAlign w:val="center"/>
          </w:tcPr>
          <w:p w14:paraId="2B15024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备注：1.服务期内由设备管理部门和使用科室进行考核，满分 100 分， 得分 90 分以上为合格，得分 80-89 分为整改，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并扣除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2%的维保费用，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&lt;80分为不合格，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并扣除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10%的维保费用。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如一年内有两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整改或考核不合格，甲方有权终止合同。2.一票否决意为考核直接不合格。3.考核中所扣分数对应评分标准，扣完对应项目总分后不再累加。4.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维保服务完成并考核合格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前提下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，支付维保费用。</w:t>
            </w:r>
          </w:p>
        </w:tc>
      </w:tr>
      <w:tr w14:paraId="2947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21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9637A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医院考核人员（甲方）：                                    设备维保中标方人员（乙方）： </w:t>
            </w:r>
          </w:p>
        </w:tc>
      </w:tr>
    </w:tbl>
    <w:p w14:paraId="7931C7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65D83"/>
    <w:multiLevelType w:val="singleLevel"/>
    <w:tmpl w:val="9F265D83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A0CBB45A"/>
    <w:multiLevelType w:val="singleLevel"/>
    <w:tmpl w:val="A0CBB4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DC5A148"/>
    <w:multiLevelType w:val="singleLevel"/>
    <w:tmpl w:val="CDC5A148"/>
    <w:lvl w:ilvl="0" w:tentative="0">
      <w:start w:val="5"/>
      <w:numFmt w:val="decimal"/>
      <w:suff w:val="nothing"/>
      <w:lvlText w:val="（%1）"/>
      <w:lvlJc w:val="left"/>
    </w:lvl>
  </w:abstractNum>
  <w:abstractNum w:abstractNumId="3">
    <w:nsid w:val="DFC690E2"/>
    <w:multiLevelType w:val="singleLevel"/>
    <w:tmpl w:val="DFC690E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AF3EFA2"/>
    <w:multiLevelType w:val="singleLevel"/>
    <w:tmpl w:val="0AF3EFA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35CD3E8"/>
    <w:multiLevelType w:val="singleLevel"/>
    <w:tmpl w:val="335CD3E8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CD6777A"/>
    <w:multiLevelType w:val="singleLevel"/>
    <w:tmpl w:val="3CD6777A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0A71CEE"/>
    <w:multiLevelType w:val="singleLevel"/>
    <w:tmpl w:val="50A71CEE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E88A8AF"/>
    <w:multiLevelType w:val="singleLevel"/>
    <w:tmpl w:val="5E88A8A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D0239D0"/>
    <w:multiLevelType w:val="singleLevel"/>
    <w:tmpl w:val="7D0239D0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354"/>
    </w:pPr>
    <w:rPr>
      <w:rFonts w:ascii="宋体" w:hAnsi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2025-06-12T01:07:13Z</dcterms:created>
  <dc:creator>Administrator</dc:creator>
  <cp:lastModifiedBy>四月</cp:lastModifiedBy>
  <dcterms:modified xsi:type="dcterms:W3CDTF">2025-06-12T01:25:30Z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eyJoZGlkIjoiYmRiMjBhMGRmNWMwMjQ5NmQ5NGJlNWI5ZDQwMmVlMzQiLCJ1c2VySWQiOiIyNjI0NTU4NTkifQ==</vt:lpwstr>
  </property>
  <property fmtid="{D5CDD505-2E9C-101B-9397-08002B2CF9AE}" pid="4" name="ICV">
    <vt:lpwstr>5BE5EF50B9064D4081C530C1A1E98A25_12</vt:lpwstr>
  </property>
</Properties>
</file>