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rPr>
      </w:pPr>
      <w:r>
        <w:rPr>
          <w:rFonts w:hint="eastAsia" w:ascii="微软雅黑" w:hAnsi="微软雅黑" w:eastAsia="微软雅黑" w:cs="微软雅黑"/>
          <w:sz w:val="48"/>
          <w:szCs w:val="48"/>
        </w:rPr>
        <w:t>胸痛中心数据质控系统</w:t>
      </w:r>
      <w:r>
        <w:rPr>
          <w:rFonts w:hint="eastAsia" w:ascii="微软雅黑" w:hAnsi="微软雅黑" w:eastAsia="微软雅黑" w:cs="微软雅黑"/>
          <w:sz w:val="48"/>
          <w:szCs w:val="48"/>
          <w:lang w:val="en-US" w:eastAsia="zh-CN"/>
        </w:rPr>
        <w:t>要求</w:t>
      </w:r>
    </w:p>
    <w:p>
      <w:pPr>
        <w:snapToGrid w:val="0"/>
        <w:spacing w:line="360" w:lineRule="auto"/>
        <w:ind w:left="360"/>
        <w:rPr>
          <w:rFonts w:ascii="微软雅黑" w:hAnsi="微软雅黑" w:eastAsia="微软雅黑" w:cs="微软雅黑"/>
          <w:sz w:val="24"/>
        </w:rPr>
      </w:pPr>
    </w:p>
    <w:p>
      <w:pPr>
        <w:rPr>
          <w:rFonts w:ascii="微软雅黑" w:hAnsi="微软雅黑" w:eastAsia="微软雅黑" w:cs="微软雅黑"/>
          <w:b/>
          <w:sz w:val="24"/>
          <w:szCs w:val="24"/>
        </w:rPr>
      </w:pPr>
      <w:r>
        <w:rPr>
          <w:rFonts w:hint="eastAsia" w:ascii="微软雅黑" w:hAnsi="微软雅黑" w:eastAsia="微软雅黑" w:cs="微软雅黑"/>
          <w:b/>
          <w:sz w:val="24"/>
          <w:szCs w:val="24"/>
        </w:rPr>
        <w:t>（一）</w:t>
      </w:r>
      <w:r>
        <w:rPr>
          <w:rFonts w:hint="eastAsia" w:ascii="微软雅黑" w:hAnsi="微软雅黑" w:eastAsia="微软雅黑" w:cs="微软雅黑"/>
          <w:b/>
          <w:sz w:val="24"/>
          <w:szCs w:val="24"/>
          <w:lang w:val="en-US" w:eastAsia="zh-CN"/>
        </w:rPr>
        <w:t>总统</w:t>
      </w:r>
      <w:r>
        <w:rPr>
          <w:rFonts w:hint="eastAsia" w:ascii="微软雅黑" w:hAnsi="微软雅黑" w:eastAsia="微软雅黑" w:cs="微软雅黑"/>
          <w:b/>
          <w:sz w:val="24"/>
          <w:szCs w:val="24"/>
        </w:rPr>
        <w:t>概述</w:t>
      </w:r>
    </w:p>
    <w:p>
      <w:pPr>
        <w:spacing w:line="360" w:lineRule="auto"/>
        <w:ind w:firstLine="420"/>
        <w:rPr>
          <w:rFonts w:hint="eastAsia" w:ascii="微软雅黑" w:hAnsi="微软雅黑" w:eastAsia="微软雅黑" w:cs="微软雅黑"/>
          <w:sz w:val="24"/>
          <w:szCs w:val="24"/>
          <w:lang w:val="en-GB"/>
        </w:rPr>
      </w:pPr>
      <w:r>
        <w:rPr>
          <w:rFonts w:hint="eastAsia" w:ascii="微软雅黑" w:hAnsi="微软雅黑" w:eastAsia="微软雅黑" w:cs="微软雅黑"/>
          <w:bCs/>
          <w:sz w:val="24"/>
        </w:rPr>
        <w:t>胸痛中心数据质控管理软件</w:t>
      </w:r>
      <w:r>
        <w:rPr>
          <w:rFonts w:hint="eastAsia" w:ascii="微软雅黑" w:hAnsi="微软雅黑" w:eastAsia="微软雅黑" w:cs="微软雅黑"/>
          <w:sz w:val="24"/>
          <w:szCs w:val="24"/>
          <w:lang w:val="en-GB"/>
        </w:rPr>
        <w:t>集合了数据概览、质控指标、认证指标、质控报告四大主要功能，以及各区域胸痛数据的展示、指标的分析、问题指标的指导、医院的筛选、医院排名、医院认证情况、质控报告的自动生成等相关功能，协助进行胸痛中心数据的管理和査询，以及进行胸痛中心数据的汇总统计，用图表形式直观展示，通过质控平台可随时掌握不同区域胸痛中心的认证和质控情况，促进通过认证胸痛中心救治质量的持续改进并帮助建设中单位 更好地建设胸痛中心。</w:t>
      </w:r>
    </w:p>
    <w:p>
      <w:pPr>
        <w:spacing w:line="360" w:lineRule="auto"/>
        <w:ind w:firstLine="420"/>
        <w:rPr>
          <w:rFonts w:ascii="微软雅黑" w:hAnsi="微软雅黑" w:eastAsia="微软雅黑" w:cs="微软雅黑"/>
          <w:b/>
          <w:sz w:val="24"/>
          <w:szCs w:val="24"/>
        </w:rPr>
      </w:pPr>
      <w:r>
        <w:rPr>
          <w:rFonts w:hint="eastAsia" w:ascii="微软雅黑" w:hAnsi="微软雅黑" w:eastAsia="微软雅黑" w:cs="微软雅黑"/>
          <w:b/>
          <w:sz w:val="24"/>
          <w:szCs w:val="24"/>
        </w:rPr>
        <w:t>（二）总体要求</w:t>
      </w: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bCs/>
          <w:sz w:val="24"/>
        </w:rPr>
        <w:t>胸痛中心数据质控管理软件</w:t>
      </w:r>
      <w:r>
        <w:rPr>
          <w:rFonts w:hint="eastAsia" w:ascii="微软雅黑" w:hAnsi="微软雅黑" w:eastAsia="微软雅黑" w:cs="微软雅黑"/>
          <w:bCs/>
          <w:sz w:val="24"/>
          <w:lang w:val="en-US" w:eastAsia="zh-CN"/>
        </w:rPr>
        <w:t>需</w:t>
      </w:r>
      <w:r>
        <w:rPr>
          <w:rFonts w:hint="eastAsia" w:ascii="微软雅黑" w:hAnsi="微软雅黑" w:eastAsia="微软雅黑" w:cs="微软雅黑"/>
          <w:bCs/>
          <w:sz w:val="24"/>
        </w:rPr>
        <w:t>与胸痛中心填报平台，认证平台</w:t>
      </w:r>
      <w:r>
        <w:rPr>
          <w:rFonts w:hint="eastAsia" w:ascii="微软雅黑" w:hAnsi="微软雅黑" w:eastAsia="微软雅黑" w:cs="微软雅黑"/>
          <w:sz w:val="24"/>
          <w:szCs w:val="24"/>
        </w:rPr>
        <w:t>等信息系统进行对接。</w:t>
      </w:r>
      <w:bookmarkStart w:id="0" w:name="_GoBack"/>
      <w:bookmarkEnd w:id="0"/>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2.系统采用主流软件架构方式，后台数据库采用主流大型数据库系统，提供专业的服务器端软件及客户端软件，服务器端提供软件加密和硬件加密结合，保证数据安全性。客户端软件通过授权管理方式，无需硬件加密，保证操作的灵活性和方便性，支持工作站点不限，提供一站式登录。</w:t>
      </w: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3.系统性能稳定，具有数据冗余备份、数据传输加密、人员权限管理、系统工作日志管理等多种手段保证综合安全，图像存储的路径和命名需遵循医院在用系统的规则。</w:t>
      </w: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5.</w:t>
      </w:r>
      <w:r>
        <w:rPr>
          <w:rFonts w:hint="eastAsia" w:ascii="微软雅黑" w:hAnsi="微软雅黑" w:eastAsia="微软雅黑" w:cs="微软雅黑"/>
          <w:bCs/>
          <w:sz w:val="24"/>
        </w:rPr>
        <w:t>胸痛中心数据质控管理软件</w:t>
      </w:r>
      <w:r>
        <w:rPr>
          <w:rFonts w:hint="eastAsia" w:ascii="微软雅黑" w:hAnsi="微软雅黑" w:eastAsia="微软雅黑" w:cs="微软雅黑"/>
          <w:sz w:val="24"/>
          <w:szCs w:val="24"/>
        </w:rPr>
        <w:t>能够实现质控报告的一键生成和一键导出，便于分享</w:t>
      </w:r>
      <w:r>
        <w:rPr>
          <w:rFonts w:hint="eastAsia" w:ascii="微软雅黑" w:hAnsi="微软雅黑" w:eastAsia="微软雅黑" w:cs="微软雅黑"/>
          <w:sz w:val="24"/>
          <w:szCs w:val="24"/>
          <w:lang w:eastAsia="zh-CN"/>
        </w:rPr>
        <w:t>本市</w:t>
      </w:r>
      <w:r>
        <w:rPr>
          <w:rFonts w:hint="eastAsia" w:ascii="微软雅黑" w:hAnsi="微软雅黑" w:eastAsia="微软雅黑" w:cs="微软雅黑"/>
          <w:sz w:val="24"/>
          <w:szCs w:val="24"/>
        </w:rPr>
        <w:t>不同时间段质控情况的相关信息。</w:t>
      </w: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6.</w:t>
      </w:r>
      <w:r>
        <w:rPr>
          <w:rFonts w:hint="eastAsia" w:ascii="微软雅黑" w:hAnsi="微软雅黑" w:eastAsia="微软雅黑" w:cs="微软雅黑"/>
          <w:bCs/>
          <w:sz w:val="24"/>
        </w:rPr>
        <w:t>胸痛中心数据质控管理软件</w:t>
      </w:r>
      <w:r>
        <w:rPr>
          <w:rFonts w:hint="eastAsia" w:ascii="微软雅黑" w:hAnsi="微软雅黑" w:eastAsia="微软雅黑" w:cs="微软雅黑"/>
          <w:sz w:val="24"/>
          <w:szCs w:val="24"/>
        </w:rPr>
        <w:t>能够看到</w:t>
      </w:r>
      <w:r>
        <w:rPr>
          <w:rFonts w:hint="eastAsia" w:ascii="微软雅黑" w:hAnsi="微软雅黑" w:eastAsia="微软雅黑" w:cs="微软雅黑"/>
          <w:sz w:val="24"/>
          <w:szCs w:val="24"/>
          <w:lang w:eastAsia="zh-CN"/>
        </w:rPr>
        <w:t>本市</w:t>
      </w:r>
      <w:r>
        <w:rPr>
          <w:rFonts w:hint="eastAsia" w:ascii="微软雅黑" w:hAnsi="微软雅黑" w:eastAsia="微软雅黑" w:cs="微软雅黑"/>
          <w:sz w:val="24"/>
          <w:szCs w:val="24"/>
        </w:rPr>
        <w:t>范围内所有在胸痛中心注册医院的注册、建设、认证情况</w:t>
      </w: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bCs/>
          <w:sz w:val="24"/>
        </w:rPr>
        <w:t>胸痛中心数据质控管理软件</w:t>
      </w:r>
      <w:r>
        <w:rPr>
          <w:rFonts w:hint="eastAsia" w:ascii="微软雅黑" w:hAnsi="微软雅黑" w:eastAsia="微软雅黑" w:cs="微软雅黑"/>
          <w:sz w:val="24"/>
          <w:szCs w:val="24"/>
        </w:rPr>
        <w:t>能够看到</w:t>
      </w:r>
      <w:r>
        <w:rPr>
          <w:rFonts w:hint="eastAsia" w:ascii="微软雅黑" w:hAnsi="微软雅黑" w:eastAsia="微软雅黑" w:cs="微软雅黑"/>
          <w:sz w:val="24"/>
          <w:szCs w:val="24"/>
          <w:lang w:eastAsia="zh-CN"/>
        </w:rPr>
        <w:t>本市</w:t>
      </w:r>
      <w:r>
        <w:rPr>
          <w:rFonts w:hint="eastAsia" w:ascii="微软雅黑" w:hAnsi="微软雅黑" w:eastAsia="微软雅黑" w:cs="微软雅黑"/>
          <w:sz w:val="24"/>
          <w:szCs w:val="24"/>
        </w:rPr>
        <w:t>范围内所有在胸痛中心注册医院的填报情况，填报排名及已填报病历的病历状态</w:t>
      </w: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bCs/>
          <w:sz w:val="24"/>
        </w:rPr>
        <w:t>胸痛中心数据质控管理软件</w:t>
      </w:r>
      <w:r>
        <w:rPr>
          <w:rFonts w:hint="eastAsia" w:ascii="微软雅黑" w:hAnsi="微软雅黑" w:eastAsia="微软雅黑" w:cs="微软雅黑"/>
          <w:sz w:val="24"/>
          <w:szCs w:val="24"/>
        </w:rPr>
        <w:t>能够看到</w:t>
      </w:r>
      <w:r>
        <w:rPr>
          <w:rFonts w:hint="eastAsia" w:ascii="微软雅黑" w:hAnsi="微软雅黑" w:eastAsia="微软雅黑" w:cs="微软雅黑"/>
          <w:sz w:val="24"/>
          <w:szCs w:val="24"/>
          <w:lang w:eastAsia="zh-CN"/>
        </w:rPr>
        <w:t>本市</w:t>
      </w:r>
      <w:r>
        <w:rPr>
          <w:rFonts w:hint="eastAsia" w:ascii="微软雅黑" w:hAnsi="微软雅黑" w:eastAsia="微软雅黑" w:cs="微软雅黑"/>
          <w:sz w:val="24"/>
          <w:szCs w:val="24"/>
        </w:rPr>
        <w:t>整体不同时间及不同时间维度的质控指标情况排名和</w:t>
      </w:r>
      <w:r>
        <w:rPr>
          <w:rFonts w:hint="eastAsia" w:ascii="微软雅黑" w:hAnsi="微软雅黑" w:eastAsia="微软雅黑" w:cs="微软雅黑"/>
          <w:sz w:val="24"/>
          <w:szCs w:val="24"/>
          <w:lang w:eastAsia="zh-CN"/>
        </w:rPr>
        <w:t>本市</w:t>
      </w:r>
      <w:r>
        <w:rPr>
          <w:rFonts w:hint="eastAsia" w:ascii="微软雅黑" w:hAnsi="微软雅黑" w:eastAsia="微软雅黑" w:cs="微软雅黑"/>
          <w:sz w:val="24"/>
          <w:szCs w:val="24"/>
        </w:rPr>
        <w:t>范围内所有通过认证医院不同时间及不同时间维度的质控指标情况排名。</w:t>
      </w: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9.</w:t>
      </w:r>
      <w:r>
        <w:rPr>
          <w:rFonts w:hint="eastAsia" w:ascii="微软雅黑" w:hAnsi="微软雅黑" w:eastAsia="微软雅黑" w:cs="微软雅黑"/>
          <w:bCs/>
          <w:sz w:val="24"/>
        </w:rPr>
        <w:t>胸痛中心数据质控管理软件</w:t>
      </w:r>
      <w:r>
        <w:rPr>
          <w:rFonts w:hint="eastAsia" w:ascii="微软雅黑" w:hAnsi="微软雅黑" w:eastAsia="微软雅黑" w:cs="微软雅黑"/>
          <w:sz w:val="24"/>
          <w:szCs w:val="24"/>
        </w:rPr>
        <w:t>能够看到</w:t>
      </w:r>
      <w:r>
        <w:rPr>
          <w:rFonts w:hint="eastAsia" w:ascii="微软雅黑" w:hAnsi="微软雅黑" w:eastAsia="微软雅黑" w:cs="微软雅黑"/>
          <w:sz w:val="24"/>
          <w:szCs w:val="24"/>
          <w:lang w:eastAsia="zh-CN"/>
        </w:rPr>
        <w:t>本市</w:t>
      </w:r>
      <w:r>
        <w:rPr>
          <w:rFonts w:hint="eastAsia" w:ascii="微软雅黑" w:hAnsi="微软雅黑" w:eastAsia="微软雅黑" w:cs="微软雅黑"/>
          <w:sz w:val="24"/>
          <w:szCs w:val="24"/>
        </w:rPr>
        <w:t>范围内所有在胸痛中心注册医院的认证指标情况。</w:t>
      </w: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10.</w:t>
      </w:r>
      <w:r>
        <w:rPr>
          <w:rFonts w:hint="eastAsia" w:ascii="微软雅黑" w:hAnsi="微软雅黑" w:eastAsia="微软雅黑" w:cs="微软雅黑"/>
          <w:bCs/>
          <w:sz w:val="24"/>
        </w:rPr>
        <w:t>胸痛中心数据质控管理软件</w:t>
      </w:r>
      <w:r>
        <w:rPr>
          <w:rFonts w:hint="eastAsia" w:ascii="微软雅黑" w:hAnsi="微软雅黑" w:eastAsia="微软雅黑" w:cs="微软雅黑"/>
          <w:sz w:val="24"/>
          <w:szCs w:val="24"/>
        </w:rPr>
        <w:t>能够录入</w:t>
      </w:r>
      <w:r>
        <w:rPr>
          <w:rFonts w:hint="eastAsia" w:ascii="微软雅黑" w:hAnsi="微软雅黑" w:eastAsia="微软雅黑" w:cs="微软雅黑"/>
          <w:sz w:val="24"/>
          <w:szCs w:val="24"/>
          <w:lang w:eastAsia="zh-CN"/>
        </w:rPr>
        <w:t>本市</w:t>
      </w:r>
      <w:r>
        <w:rPr>
          <w:rFonts w:hint="eastAsia" w:ascii="微软雅黑" w:hAnsi="微软雅黑" w:eastAsia="微软雅黑" w:cs="微软雅黑"/>
          <w:sz w:val="24"/>
          <w:szCs w:val="24"/>
        </w:rPr>
        <w:t>范围内对所有做了现场评分的医院进行相应分数的录入自动计算出质控总分</w:t>
      </w: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10.</w:t>
      </w:r>
      <w:r>
        <w:rPr>
          <w:rFonts w:hint="eastAsia" w:ascii="微软雅黑" w:hAnsi="微软雅黑" w:eastAsia="微软雅黑" w:cs="微软雅黑"/>
          <w:bCs/>
          <w:sz w:val="24"/>
        </w:rPr>
        <w:t>胸痛中心数据质控管理软件</w:t>
      </w:r>
      <w:r>
        <w:rPr>
          <w:rFonts w:hint="eastAsia" w:ascii="微软雅黑" w:hAnsi="微软雅黑" w:eastAsia="微软雅黑" w:cs="微软雅黑"/>
          <w:sz w:val="24"/>
          <w:szCs w:val="24"/>
        </w:rPr>
        <w:t>能够实现质控报告的一键生成和一键导出，便于分享</w:t>
      </w:r>
      <w:r>
        <w:rPr>
          <w:rFonts w:hint="eastAsia" w:ascii="微软雅黑" w:hAnsi="微软雅黑" w:eastAsia="微软雅黑" w:cs="微软雅黑"/>
          <w:sz w:val="24"/>
          <w:szCs w:val="24"/>
          <w:lang w:eastAsia="zh-CN"/>
        </w:rPr>
        <w:t>本市</w:t>
      </w:r>
      <w:r>
        <w:rPr>
          <w:rFonts w:hint="eastAsia" w:ascii="微软雅黑" w:hAnsi="微软雅黑" w:eastAsia="微软雅黑" w:cs="微软雅黑"/>
          <w:sz w:val="24"/>
          <w:szCs w:val="24"/>
        </w:rPr>
        <w:t>不同时间段质控情况的相关信息。</w:t>
      </w:r>
    </w:p>
    <w:p>
      <w:pPr>
        <w:spacing w:line="360" w:lineRule="auto"/>
        <w:rPr>
          <w:rFonts w:ascii="微软雅黑" w:hAnsi="微软雅黑" w:eastAsia="微软雅黑" w:cs="微软雅黑"/>
          <w:sz w:val="24"/>
          <w:szCs w:val="24"/>
        </w:rPr>
      </w:pPr>
    </w:p>
    <w:p>
      <w:pPr>
        <w:spacing w:line="360" w:lineRule="auto"/>
        <w:rPr>
          <w:rFonts w:ascii="微软雅黑" w:hAnsi="微软雅黑" w:eastAsia="微软雅黑" w:cs="微软雅黑"/>
          <w:b/>
          <w:sz w:val="24"/>
          <w:szCs w:val="24"/>
        </w:rPr>
      </w:pPr>
      <w:r>
        <w:rPr>
          <w:rFonts w:hint="eastAsia" w:ascii="微软雅黑" w:hAnsi="微软雅黑" w:eastAsia="微软雅黑" w:cs="微软雅黑"/>
          <w:b/>
          <w:sz w:val="24"/>
          <w:szCs w:val="24"/>
        </w:rPr>
        <w:t>（三）技术指标要求</w:t>
      </w:r>
    </w:p>
    <w:tbl>
      <w:tblPr>
        <w:tblStyle w:val="12"/>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1701"/>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b/>
              </w:rPr>
            </w:pPr>
            <w:r>
              <w:rPr>
                <w:rFonts w:hint="eastAsia" w:ascii="微软雅黑" w:hAnsi="微软雅黑" w:eastAsia="微软雅黑" w:cs="微软雅黑"/>
                <w:b/>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b/>
              </w:rPr>
            </w:pPr>
            <w:r>
              <w:rPr>
                <w:rFonts w:hint="eastAsia" w:ascii="微软雅黑" w:hAnsi="微软雅黑" w:eastAsia="微软雅黑" w:cs="微软雅黑"/>
                <w:b/>
              </w:rPr>
              <w:t>模块名称</w:t>
            </w: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b/>
              </w:rPr>
            </w:pPr>
            <w:r>
              <w:rPr>
                <w:rFonts w:hint="eastAsia" w:ascii="微软雅黑" w:hAnsi="微软雅黑" w:eastAsia="微软雅黑" w:cs="微软雅黑"/>
                <w:b/>
              </w:rPr>
              <w:t>功能</w:t>
            </w:r>
          </w:p>
        </w:tc>
        <w:tc>
          <w:tcPr>
            <w:tcW w:w="5930"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b/>
              </w:rPr>
            </w:pPr>
            <w:r>
              <w:rPr>
                <w:rFonts w:hint="eastAsia" w:ascii="微软雅黑" w:hAnsi="微软雅黑" w:eastAsia="微软雅黑" w:cs="微软雅黑"/>
                <w:b/>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tcBorders>
              <w:top w:val="single" w:color="auto" w:sz="4" w:space="0"/>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1</w:t>
            </w:r>
          </w:p>
        </w:tc>
        <w:tc>
          <w:tcPr>
            <w:tcW w:w="1275" w:type="dxa"/>
            <w:vMerge w:val="restart"/>
            <w:tcBorders>
              <w:top w:val="single" w:color="auto" w:sz="4" w:space="0"/>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数据概览</w:t>
            </w:r>
          </w:p>
        </w:tc>
        <w:tc>
          <w:tcPr>
            <w:tcW w:w="1701"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微软雅黑" w:hAnsi="微软雅黑" w:eastAsia="微软雅黑" w:cs="微软雅黑"/>
              </w:rPr>
            </w:pPr>
            <w:r>
              <w:rPr>
                <w:rFonts w:hint="eastAsia" w:ascii="微软雅黑" w:hAnsi="微软雅黑" w:eastAsia="微软雅黑" w:cs="微软雅黑"/>
              </w:rPr>
              <w:t>认证概况、排名</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1"/>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在全国胸痛中心注册医院的数量、建设中医院的数量、通过认证医院的数量等建设情况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微软雅黑" w:hAnsi="微软雅黑" w:eastAsia="微软雅黑" w:cs="微软雅黑"/>
              </w:rPr>
            </w:pPr>
            <w:r>
              <w:rPr>
                <w:rFonts w:hint="eastAsia" w:ascii="微软雅黑" w:hAnsi="微软雅黑" w:eastAsia="微软雅黑" w:cs="微软雅黑"/>
              </w:rPr>
              <w:t>填报概况、排名</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1"/>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在全国胸痛中心填报的病历总数，每天填报情况，所有病历状态，</w:t>
            </w:r>
            <w:r>
              <w:rPr>
                <w:rFonts w:hint="eastAsia" w:ascii="微软雅黑" w:hAnsi="微软雅黑" w:eastAsia="微软雅黑" w:cs="微软雅黑"/>
                <w:lang w:val="en-US" w:eastAsia="zh-CN"/>
              </w:rPr>
              <w:t>本市</w:t>
            </w:r>
            <w:r>
              <w:rPr>
                <w:rFonts w:hint="eastAsia" w:ascii="微软雅黑" w:hAnsi="微软雅黑" w:eastAsia="微软雅黑" w:cs="微软雅黑"/>
              </w:rPr>
              <w:t>所有医院的填报情况等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Borders>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微软雅黑" w:hAnsi="微软雅黑" w:eastAsia="微软雅黑" w:cs="微软雅黑"/>
              </w:rPr>
            </w:pPr>
            <w:r>
              <w:rPr>
                <w:rFonts w:hint="eastAsia" w:ascii="微软雅黑" w:hAnsi="微软雅黑" w:eastAsia="微软雅黑" w:cs="微软雅黑"/>
              </w:rPr>
              <w:t>质控指标概况</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1"/>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近两年内标准版和基层版所有指标情况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tcBorders>
              <w:top w:val="single" w:color="auto" w:sz="4" w:space="0"/>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2</w:t>
            </w:r>
          </w:p>
        </w:tc>
        <w:tc>
          <w:tcPr>
            <w:tcW w:w="1275" w:type="dxa"/>
            <w:vMerge w:val="restart"/>
            <w:tcBorders>
              <w:top w:val="single" w:color="auto" w:sz="4" w:space="0"/>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质控指标</w:t>
            </w: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质控指标</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2"/>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每年、每半年、每季度、每个月的质控指标概况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排名</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3"/>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 xml:space="preserve">质控指标在全国、全省的排名情况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医院质控</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3"/>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在胸痛中心认证通过的每家医院的质控指标概况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医院排名</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3"/>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 xml:space="preserve">在胸痛中心认证通过的每家医院的质控指标在全国、全省、全市的排名情况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医院分布</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3"/>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 xml:space="preserve">在胸痛中心认证通过的每家医院的分布情况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单院质控</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3"/>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和每家在胸痛中心认证通过医院的质控分数概况及排名情况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Borders>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质控督导</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3"/>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rPr>
              <w:t>对</w:t>
            </w:r>
            <w:r>
              <w:rPr>
                <w:rFonts w:hint="eastAsia" w:ascii="微软雅黑" w:hAnsi="微软雅黑" w:eastAsia="微软雅黑" w:cs="微软雅黑"/>
                <w:lang w:eastAsia="zh-CN"/>
              </w:rPr>
              <w:t>本市</w:t>
            </w:r>
            <w:r>
              <w:rPr>
                <w:rFonts w:hint="eastAsia" w:ascii="微软雅黑" w:hAnsi="微软雅黑" w:eastAsia="微软雅黑" w:cs="微软雅黑"/>
              </w:rPr>
              <w:t xml:space="preserve">胸痛中心认证通过的每家医院可以进行督导信息、邮件的自动发送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tcBorders>
              <w:top w:val="single" w:color="auto" w:sz="4" w:space="0"/>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3</w:t>
            </w:r>
          </w:p>
        </w:tc>
        <w:tc>
          <w:tcPr>
            <w:tcW w:w="1275" w:type="dxa"/>
            <w:vMerge w:val="restart"/>
            <w:tcBorders>
              <w:top w:val="single" w:color="auto" w:sz="4" w:space="0"/>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sz w:val="24"/>
                <w:szCs w:val="24"/>
              </w:rPr>
              <w:t>认证指标</w:t>
            </w: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注册进度</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4"/>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 xml:space="preserve">所有在胸痛中心注册医院的认证进度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指标详情</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4"/>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 xml:space="preserve">所有在胸痛中心注册医院的认证指标详情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tcBorders>
              <w:top w:val="single" w:color="auto" w:sz="4" w:space="0"/>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4</w:t>
            </w:r>
          </w:p>
        </w:tc>
        <w:tc>
          <w:tcPr>
            <w:tcW w:w="1275" w:type="dxa"/>
            <w:vMerge w:val="restart"/>
            <w:tcBorders>
              <w:top w:val="single" w:color="auto" w:sz="4" w:space="0"/>
              <w:left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质控报告</w:t>
            </w:r>
          </w:p>
        </w:tc>
        <w:tc>
          <w:tcPr>
            <w:tcW w:w="1701"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微软雅黑" w:hAnsi="微软雅黑" w:eastAsia="微软雅黑" w:cs="微软雅黑"/>
              </w:rPr>
            </w:pPr>
            <w:r>
              <w:rPr>
                <w:rFonts w:hint="eastAsia" w:ascii="微软雅黑" w:hAnsi="微软雅黑" w:eastAsia="微软雅黑" w:cs="微软雅黑"/>
              </w:rPr>
              <w:t>生成报告</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5"/>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rPr>
              <w:t>生成</w:t>
            </w:r>
            <w:r>
              <w:rPr>
                <w:rFonts w:hint="eastAsia" w:ascii="微软雅黑" w:hAnsi="微软雅黑" w:eastAsia="微软雅黑" w:cs="微软雅黑"/>
                <w:lang w:eastAsia="zh-CN"/>
              </w:rPr>
              <w:t>本市</w:t>
            </w:r>
            <w:r>
              <w:rPr>
                <w:rFonts w:hint="eastAsia" w:ascii="微软雅黑" w:hAnsi="微软雅黑" w:eastAsia="微软雅黑" w:cs="微软雅黑"/>
              </w:rPr>
              <w:t>每年、每半年、每季度、每个月的质控报告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88" w:type="dxa"/>
            <w:vMerge w:val="continue"/>
            <w:tcBorders>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275" w:type="dxa"/>
            <w:vMerge w:val="continue"/>
            <w:tcBorders>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p>
        </w:tc>
        <w:tc>
          <w:tcPr>
            <w:tcW w:w="1701"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微软雅黑" w:hAnsi="微软雅黑" w:eastAsia="微软雅黑" w:cs="微软雅黑"/>
              </w:rPr>
            </w:pPr>
            <w:r>
              <w:rPr>
                <w:rFonts w:hint="eastAsia" w:ascii="微软雅黑" w:hAnsi="微软雅黑" w:eastAsia="微软雅黑" w:cs="微软雅黑"/>
              </w:rPr>
              <w:t>导出报告</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5"/>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rPr>
              <w:t>导出</w:t>
            </w:r>
            <w:r>
              <w:rPr>
                <w:rFonts w:hint="eastAsia" w:ascii="微软雅黑" w:hAnsi="微软雅黑" w:eastAsia="微软雅黑" w:cs="微软雅黑"/>
                <w:lang w:eastAsia="zh-CN"/>
              </w:rPr>
              <w:t>本市</w:t>
            </w:r>
            <w:r>
              <w:rPr>
                <w:rFonts w:hint="eastAsia" w:ascii="微软雅黑" w:hAnsi="微软雅黑" w:eastAsia="微软雅黑" w:cs="微软雅黑"/>
              </w:rPr>
              <w:t xml:space="preserve">每年、每半年、每季度、每个月的质控报告的PDF和word版本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5</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分数录入</w:t>
            </w:r>
          </w:p>
        </w:tc>
        <w:tc>
          <w:tcPr>
            <w:tcW w:w="1701"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微软雅黑" w:hAnsi="微软雅黑" w:eastAsia="微软雅黑" w:cs="微软雅黑"/>
              </w:rPr>
            </w:pPr>
            <w:r>
              <w:rPr>
                <w:rFonts w:hint="eastAsia" w:ascii="微软雅黑" w:hAnsi="微软雅黑" w:eastAsia="微软雅黑" w:cs="微软雅黑"/>
              </w:rPr>
              <w:t>分数录入自动计算质控总分</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5"/>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rPr>
              <w:t>市级联盟在对医院进行现场检查后得到的质控分数能够在胸痛质控平台进行录入，与胸痛计算的质控分数进行计算后能够得到一个质控总分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5</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账号管理</w:t>
            </w:r>
          </w:p>
        </w:tc>
        <w:tc>
          <w:tcPr>
            <w:tcW w:w="1701"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微软雅黑" w:hAnsi="微软雅黑" w:eastAsia="微软雅黑" w:cs="微软雅黑"/>
              </w:rPr>
            </w:pPr>
            <w:r>
              <w:rPr>
                <w:rFonts w:hint="eastAsia" w:ascii="微软雅黑" w:hAnsi="微软雅黑" w:eastAsia="微软雅黑" w:cs="微软雅黑"/>
              </w:rPr>
              <w:t>账号管理</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5"/>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rPr>
              <w:t>对</w:t>
            </w:r>
            <w:r>
              <w:rPr>
                <w:rFonts w:hint="eastAsia" w:ascii="微软雅黑" w:hAnsi="微软雅黑" w:eastAsia="微软雅黑" w:cs="微软雅黑"/>
                <w:lang w:eastAsia="zh-CN"/>
              </w:rPr>
              <w:t>本市</w:t>
            </w:r>
            <w:r>
              <w:rPr>
                <w:rFonts w:hint="eastAsia" w:ascii="微软雅黑" w:hAnsi="微软雅黑" w:eastAsia="微软雅黑" w:cs="微软雅黑"/>
              </w:rPr>
              <w:t xml:space="preserve">账号密码的修改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6</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spacing w:before="156" w:line="276" w:lineRule="auto"/>
              <w:jc w:val="center"/>
              <w:rPr>
                <w:rFonts w:ascii="微软雅黑" w:hAnsi="微软雅黑" w:eastAsia="微软雅黑" w:cs="微软雅黑"/>
              </w:rPr>
            </w:pPr>
            <w:r>
              <w:rPr>
                <w:rFonts w:hint="eastAsia" w:ascii="微软雅黑" w:hAnsi="微软雅黑" w:eastAsia="微软雅黑" w:cs="微软雅黑"/>
              </w:rPr>
              <w:t>留言板</w:t>
            </w:r>
          </w:p>
        </w:tc>
        <w:tc>
          <w:tcPr>
            <w:tcW w:w="1701"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微软雅黑" w:hAnsi="微软雅黑" w:eastAsia="微软雅黑" w:cs="微软雅黑"/>
              </w:rPr>
            </w:pPr>
            <w:r>
              <w:rPr>
                <w:rFonts w:hint="eastAsia" w:ascii="微软雅黑" w:hAnsi="微软雅黑" w:eastAsia="微软雅黑" w:cs="微软雅黑"/>
              </w:rPr>
              <w:t>反馈</w:t>
            </w:r>
          </w:p>
        </w:tc>
        <w:tc>
          <w:tcPr>
            <w:tcW w:w="5930" w:type="dxa"/>
            <w:tcBorders>
              <w:top w:val="single" w:color="auto" w:sz="4" w:space="0"/>
              <w:left w:val="nil"/>
              <w:bottom w:val="single" w:color="auto" w:sz="4" w:space="0"/>
              <w:right w:val="single" w:color="auto" w:sz="4" w:space="0"/>
            </w:tcBorders>
            <w:vAlign w:val="center"/>
          </w:tcPr>
          <w:p>
            <w:pPr>
              <w:pStyle w:val="17"/>
              <w:numPr>
                <w:ilvl w:val="0"/>
                <w:numId w:val="6"/>
              </w:numPr>
              <w:autoSpaceDE w:val="0"/>
              <w:spacing w:line="276" w:lineRule="auto"/>
              <w:ind w:firstLineChars="0"/>
              <w:rPr>
                <w:rFonts w:ascii="微软雅黑" w:hAnsi="微软雅黑" w:eastAsia="微软雅黑" w:cs="微软雅黑"/>
              </w:rPr>
            </w:pPr>
            <w:r>
              <w:rPr>
                <w:rFonts w:hint="eastAsia" w:ascii="微软雅黑" w:hAnsi="微软雅黑" w:eastAsia="微软雅黑" w:cs="微软雅黑"/>
                <w:lang w:eastAsia="zh-CN"/>
              </w:rPr>
              <w:t>本市</w:t>
            </w:r>
            <w:r>
              <w:rPr>
                <w:rFonts w:hint="eastAsia" w:ascii="微软雅黑" w:hAnsi="微软雅黑" w:eastAsia="微软雅黑" w:cs="微软雅黑"/>
              </w:rPr>
              <w:t xml:space="preserve">账号对胸痛质控平台问题的反馈 </w:t>
            </w:r>
          </w:p>
        </w:tc>
      </w:tr>
    </w:tbl>
    <w:p>
      <w:pPr>
        <w:jc w:val="left"/>
        <w:rPr>
          <w:rFonts w:ascii="微软雅黑" w:hAnsi="微软雅黑" w:eastAsia="微软雅黑" w:cs="微软雅黑"/>
        </w:rPr>
      </w:pPr>
    </w:p>
    <w:p>
      <w:pPr>
        <w:spacing w:line="36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（四）配套硬件要求</w:t>
      </w:r>
    </w:p>
    <w:p>
      <w:pPr>
        <w:spacing w:before="163" w:line="360" w:lineRule="auto"/>
        <w:ind w:left="420"/>
        <w:jc w:val="center"/>
        <w:rPr>
          <w:rFonts w:ascii="微软雅黑" w:hAnsi="微软雅黑" w:eastAsia="微软雅黑" w:cs="微软雅黑"/>
        </w:rPr>
      </w:pPr>
      <w:r>
        <w:rPr>
          <w:rFonts w:hint="eastAsia" w:ascii="微软雅黑" w:hAnsi="微软雅黑" w:eastAsia="微软雅黑" w:cs="微软雅黑"/>
        </w:rPr>
        <w:t>硬件设备表</w:t>
      </w: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3231"/>
        <w:gridCol w:w="80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7" w:type="dxa"/>
            <w:vAlign w:val="center"/>
          </w:tcPr>
          <w:p>
            <w:pPr>
              <w:jc w:val="center"/>
              <w:rPr>
                <w:rFonts w:ascii="微软雅黑" w:hAnsi="微软雅黑" w:eastAsia="微软雅黑" w:cs="微软雅黑"/>
              </w:rPr>
            </w:pPr>
            <w:r>
              <w:rPr>
                <w:rFonts w:hint="eastAsia" w:ascii="微软雅黑" w:hAnsi="微软雅黑" w:eastAsia="微软雅黑" w:cs="微软雅黑"/>
              </w:rPr>
              <w:t>序号</w:t>
            </w:r>
          </w:p>
        </w:tc>
        <w:tc>
          <w:tcPr>
            <w:tcW w:w="3231" w:type="dxa"/>
            <w:vAlign w:val="center"/>
          </w:tcPr>
          <w:p>
            <w:pPr>
              <w:jc w:val="center"/>
              <w:rPr>
                <w:rFonts w:ascii="微软雅黑" w:hAnsi="微软雅黑" w:eastAsia="微软雅黑" w:cs="微软雅黑"/>
              </w:rPr>
            </w:pPr>
            <w:r>
              <w:rPr>
                <w:rFonts w:hint="eastAsia" w:ascii="微软雅黑" w:hAnsi="微软雅黑" w:eastAsia="微软雅黑" w:cs="微软雅黑"/>
              </w:rPr>
              <w:t>名称</w:t>
            </w:r>
          </w:p>
        </w:tc>
        <w:tc>
          <w:tcPr>
            <w:tcW w:w="809" w:type="dxa"/>
            <w:vAlign w:val="center"/>
          </w:tcPr>
          <w:p>
            <w:pPr>
              <w:jc w:val="center"/>
              <w:rPr>
                <w:rFonts w:ascii="微软雅黑" w:hAnsi="微软雅黑" w:eastAsia="微软雅黑" w:cs="微软雅黑"/>
              </w:rPr>
            </w:pPr>
            <w:r>
              <w:rPr>
                <w:rFonts w:hint="eastAsia" w:ascii="微软雅黑" w:hAnsi="微软雅黑" w:eastAsia="微软雅黑" w:cs="微软雅黑"/>
              </w:rPr>
              <w:t>数量</w:t>
            </w:r>
          </w:p>
        </w:tc>
        <w:tc>
          <w:tcPr>
            <w:tcW w:w="3543" w:type="dxa"/>
            <w:vAlign w:val="center"/>
          </w:tcPr>
          <w:p>
            <w:pPr>
              <w:jc w:val="center"/>
              <w:rPr>
                <w:rFonts w:ascii="微软雅黑" w:hAnsi="微软雅黑" w:eastAsia="微软雅黑" w:cs="微软雅黑"/>
              </w:rPr>
            </w:pPr>
            <w:r>
              <w:rPr>
                <w:rFonts w:hint="eastAsia" w:ascii="微软雅黑" w:hAnsi="微软雅黑" w:eastAsia="微软雅黑" w:cs="微软雅黑"/>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7" w:type="dxa"/>
            <w:vAlign w:val="center"/>
          </w:tcPr>
          <w:p>
            <w:pPr>
              <w:rPr>
                <w:rFonts w:ascii="微软雅黑" w:hAnsi="微软雅黑" w:eastAsia="微软雅黑" w:cs="微软雅黑"/>
              </w:rPr>
            </w:pPr>
            <w:r>
              <w:rPr>
                <w:rFonts w:hint="eastAsia" w:ascii="微软雅黑" w:hAnsi="微软雅黑" w:eastAsia="微软雅黑" w:cs="微软雅黑"/>
              </w:rPr>
              <w:t>1</w:t>
            </w:r>
          </w:p>
        </w:tc>
        <w:tc>
          <w:tcPr>
            <w:tcW w:w="3231" w:type="dxa"/>
            <w:vAlign w:val="center"/>
          </w:tcPr>
          <w:p>
            <w:pPr>
              <w:rPr>
                <w:rFonts w:ascii="微软雅黑" w:hAnsi="微软雅黑" w:eastAsia="微软雅黑" w:cs="微软雅黑"/>
              </w:rPr>
            </w:pPr>
            <w:r>
              <w:rPr>
                <w:rFonts w:hint="eastAsia" w:ascii="微软雅黑" w:hAnsi="微软雅黑" w:eastAsia="微软雅黑" w:cs="微软雅黑"/>
              </w:rPr>
              <w:t>触控大屏一体机</w:t>
            </w:r>
          </w:p>
        </w:tc>
        <w:tc>
          <w:tcPr>
            <w:tcW w:w="809" w:type="dxa"/>
            <w:vAlign w:val="center"/>
          </w:tcPr>
          <w:p>
            <w:pPr>
              <w:jc w:val="center"/>
              <w:rPr>
                <w:rFonts w:ascii="微软雅黑" w:hAnsi="微软雅黑" w:eastAsia="微软雅黑" w:cs="微软雅黑"/>
              </w:rPr>
            </w:pPr>
            <w:r>
              <w:rPr>
                <w:rFonts w:hint="eastAsia" w:ascii="微软雅黑" w:hAnsi="微软雅黑" w:eastAsia="微软雅黑" w:cs="微软雅黑"/>
              </w:rPr>
              <w:t>1</w:t>
            </w:r>
          </w:p>
        </w:tc>
        <w:tc>
          <w:tcPr>
            <w:tcW w:w="3543" w:type="dxa"/>
            <w:vAlign w:val="center"/>
          </w:tcPr>
          <w:p>
            <w:pPr>
              <w:rPr>
                <w:rFonts w:ascii="微软雅黑" w:hAnsi="微软雅黑" w:eastAsia="微软雅黑" w:cs="微软雅黑"/>
              </w:rPr>
            </w:pPr>
            <w:r>
              <w:rPr>
                <w:rFonts w:hint="eastAsia" w:ascii="微软雅黑" w:hAnsi="微软雅黑" w:eastAsia="微软雅黑" w:cs="微软雅黑"/>
              </w:rPr>
              <w:t>屏幕：4K 55寸 触摸屏；处理器：酷睿I5/I7；内存：4G；硬盘：120G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17" w:type="dxa"/>
            <w:vAlign w:val="center"/>
          </w:tcPr>
          <w:p>
            <w:pPr>
              <w:rPr>
                <w:rFonts w:ascii="微软雅黑" w:hAnsi="微软雅黑" w:eastAsia="微软雅黑" w:cs="微软雅黑"/>
              </w:rPr>
            </w:pPr>
            <w:r>
              <w:rPr>
                <w:rFonts w:hint="eastAsia" w:ascii="微软雅黑" w:hAnsi="微软雅黑" w:eastAsia="微软雅黑" w:cs="微软雅黑"/>
              </w:rPr>
              <w:t>2</w:t>
            </w:r>
          </w:p>
        </w:tc>
        <w:tc>
          <w:tcPr>
            <w:tcW w:w="3231" w:type="dxa"/>
            <w:vAlign w:val="center"/>
          </w:tcPr>
          <w:p>
            <w:pPr>
              <w:rPr>
                <w:rFonts w:ascii="微软雅黑" w:hAnsi="微软雅黑" w:eastAsia="微软雅黑" w:cs="微软雅黑"/>
              </w:rPr>
            </w:pPr>
            <w:r>
              <w:rPr>
                <w:rFonts w:hint="eastAsia" w:ascii="微软雅黑" w:hAnsi="微软雅黑" w:eastAsia="微软雅黑" w:cs="微软雅黑"/>
              </w:rPr>
              <w:t>可移动支架</w:t>
            </w:r>
          </w:p>
        </w:tc>
        <w:tc>
          <w:tcPr>
            <w:tcW w:w="809" w:type="dxa"/>
            <w:vAlign w:val="center"/>
          </w:tcPr>
          <w:p>
            <w:pPr>
              <w:jc w:val="center"/>
              <w:rPr>
                <w:rFonts w:ascii="微软雅黑" w:hAnsi="微软雅黑" w:eastAsia="微软雅黑" w:cs="微软雅黑"/>
              </w:rPr>
            </w:pPr>
            <w:r>
              <w:rPr>
                <w:rFonts w:hint="eastAsia" w:ascii="微软雅黑" w:hAnsi="微软雅黑" w:eastAsia="微软雅黑" w:cs="微软雅黑"/>
              </w:rPr>
              <w:t>1</w:t>
            </w:r>
          </w:p>
        </w:tc>
        <w:tc>
          <w:tcPr>
            <w:tcW w:w="3543" w:type="dxa"/>
            <w:vAlign w:val="center"/>
          </w:tcPr>
          <w:p>
            <w:pPr>
              <w:rPr>
                <w:rFonts w:ascii="微软雅黑" w:hAnsi="微软雅黑" w:eastAsia="微软雅黑" w:cs="微软雅黑"/>
              </w:rPr>
            </w:pPr>
          </w:p>
        </w:tc>
      </w:tr>
    </w:tbl>
    <w:p>
      <w:pPr>
        <w:rPr>
          <w:rFonts w:ascii="微软雅黑" w:hAnsi="微软雅黑" w:eastAsia="微软雅黑" w:cs="微软雅黑"/>
        </w:rPr>
      </w:pPr>
    </w:p>
    <w:sectPr>
      <w:headerReference r:id="rId3" w:type="firs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8341728"/>
    </w:sdtPr>
    <w:sdtContent>
      <w:sdt>
        <w:sdtPr>
          <w:id w:val="-1705238520"/>
        </w:sdtPr>
        <w:sdtContent>
          <w:p>
            <w:pPr>
              <w:pStyle w:val="5"/>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szCs w:val="21"/>
      </w:rPr>
    </w:pPr>
    <w:r>
      <w:rPr>
        <w:rFonts w:hint="eastAsia"/>
        <w:sz w:val="21"/>
        <w:szCs w:val="21"/>
      </w:rPr>
      <w:t>I</w:t>
    </w:r>
    <w:r>
      <w:rPr>
        <w:sz w:val="21"/>
        <w:szCs w:val="21"/>
      </w:rPr>
      <w:t>VF</w:t>
    </w:r>
    <w:r>
      <w:rPr>
        <w:rFonts w:hint="eastAsia"/>
        <w:sz w:val="21"/>
        <w:szCs w:val="21"/>
      </w:rPr>
      <w:t>项目参数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01365"/>
    <w:multiLevelType w:val="multilevel"/>
    <w:tmpl w:val="03C0136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5A37904"/>
    <w:multiLevelType w:val="multilevel"/>
    <w:tmpl w:val="35A3790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1B50CE6"/>
    <w:multiLevelType w:val="multilevel"/>
    <w:tmpl w:val="41B50CE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F584D9D"/>
    <w:multiLevelType w:val="multilevel"/>
    <w:tmpl w:val="6F584D9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48566BD"/>
    <w:multiLevelType w:val="multilevel"/>
    <w:tmpl w:val="748566B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6D803FF"/>
    <w:multiLevelType w:val="multilevel"/>
    <w:tmpl w:val="76D803F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21"/>
    <w:rsid w:val="000411F7"/>
    <w:rsid w:val="000501A3"/>
    <w:rsid w:val="00057969"/>
    <w:rsid w:val="0008133D"/>
    <w:rsid w:val="000A7CD6"/>
    <w:rsid w:val="000F593D"/>
    <w:rsid w:val="001023E2"/>
    <w:rsid w:val="001331D9"/>
    <w:rsid w:val="001D4BFC"/>
    <w:rsid w:val="001E7F9F"/>
    <w:rsid w:val="00211287"/>
    <w:rsid w:val="00267294"/>
    <w:rsid w:val="00274124"/>
    <w:rsid w:val="00304E5B"/>
    <w:rsid w:val="00313A03"/>
    <w:rsid w:val="00314089"/>
    <w:rsid w:val="00320418"/>
    <w:rsid w:val="003276AF"/>
    <w:rsid w:val="00330726"/>
    <w:rsid w:val="003373AC"/>
    <w:rsid w:val="003554E6"/>
    <w:rsid w:val="00404D6C"/>
    <w:rsid w:val="00454958"/>
    <w:rsid w:val="00455CE4"/>
    <w:rsid w:val="00457E58"/>
    <w:rsid w:val="00470341"/>
    <w:rsid w:val="004845CE"/>
    <w:rsid w:val="00486E0A"/>
    <w:rsid w:val="00494566"/>
    <w:rsid w:val="004B4367"/>
    <w:rsid w:val="005221FF"/>
    <w:rsid w:val="00547E2D"/>
    <w:rsid w:val="005605CD"/>
    <w:rsid w:val="00561D02"/>
    <w:rsid w:val="0058071F"/>
    <w:rsid w:val="00624F17"/>
    <w:rsid w:val="00643B77"/>
    <w:rsid w:val="006A133D"/>
    <w:rsid w:val="006C21FB"/>
    <w:rsid w:val="006D525B"/>
    <w:rsid w:val="006E736C"/>
    <w:rsid w:val="006F43D2"/>
    <w:rsid w:val="00720B2C"/>
    <w:rsid w:val="00744BE0"/>
    <w:rsid w:val="00786295"/>
    <w:rsid w:val="0079149E"/>
    <w:rsid w:val="0079479F"/>
    <w:rsid w:val="007A60DC"/>
    <w:rsid w:val="007F40EA"/>
    <w:rsid w:val="0080111B"/>
    <w:rsid w:val="00812340"/>
    <w:rsid w:val="008179D9"/>
    <w:rsid w:val="00835C1F"/>
    <w:rsid w:val="00843596"/>
    <w:rsid w:val="0086553E"/>
    <w:rsid w:val="008B79F5"/>
    <w:rsid w:val="008E007F"/>
    <w:rsid w:val="008F6F08"/>
    <w:rsid w:val="00911718"/>
    <w:rsid w:val="009300AC"/>
    <w:rsid w:val="00975C20"/>
    <w:rsid w:val="009E7C0D"/>
    <w:rsid w:val="00A57053"/>
    <w:rsid w:val="00AA50EB"/>
    <w:rsid w:val="00AC5FFC"/>
    <w:rsid w:val="00AE3A21"/>
    <w:rsid w:val="00B63FD6"/>
    <w:rsid w:val="00B91B1F"/>
    <w:rsid w:val="00BE1744"/>
    <w:rsid w:val="00C216D1"/>
    <w:rsid w:val="00C44D28"/>
    <w:rsid w:val="00CB11D8"/>
    <w:rsid w:val="00D15B32"/>
    <w:rsid w:val="00D64DC1"/>
    <w:rsid w:val="00D71549"/>
    <w:rsid w:val="00D7683A"/>
    <w:rsid w:val="00DA46ED"/>
    <w:rsid w:val="00DB2C09"/>
    <w:rsid w:val="00E76614"/>
    <w:rsid w:val="00E973A3"/>
    <w:rsid w:val="00EA4503"/>
    <w:rsid w:val="00EA77CC"/>
    <w:rsid w:val="00EC7F45"/>
    <w:rsid w:val="00ED60BE"/>
    <w:rsid w:val="00EE1EB2"/>
    <w:rsid w:val="00EF3BB6"/>
    <w:rsid w:val="00EF5235"/>
    <w:rsid w:val="00EF7BBC"/>
    <w:rsid w:val="00F95E41"/>
    <w:rsid w:val="00FA2069"/>
    <w:rsid w:val="00FA477E"/>
    <w:rsid w:val="03F64327"/>
    <w:rsid w:val="05F00C87"/>
    <w:rsid w:val="09AF7534"/>
    <w:rsid w:val="0A80132B"/>
    <w:rsid w:val="11837CAD"/>
    <w:rsid w:val="17026266"/>
    <w:rsid w:val="173141C5"/>
    <w:rsid w:val="21AE7665"/>
    <w:rsid w:val="2FA267AE"/>
    <w:rsid w:val="313932AD"/>
    <w:rsid w:val="36DF2DB8"/>
    <w:rsid w:val="3ACB38E0"/>
    <w:rsid w:val="484E66A6"/>
    <w:rsid w:val="518549DE"/>
    <w:rsid w:val="5237180B"/>
    <w:rsid w:val="5B367FC0"/>
    <w:rsid w:val="660251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Subtitle"/>
    <w:basedOn w:val="1"/>
    <w:next w:val="1"/>
    <w:link w:val="27"/>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8"/>
    <w:qFormat/>
    <w:uiPriority w:val="1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1 字符"/>
    <w:basedOn w:val="14"/>
    <w:link w:val="2"/>
    <w:qFormat/>
    <w:uiPriority w:val="9"/>
    <w:rPr>
      <w:rFonts w:ascii="Calibri" w:hAnsi="Calibri" w:eastAsia="宋体" w:cs="Times New Roman"/>
      <w:b/>
      <w:bCs/>
      <w:kern w:val="44"/>
      <w:sz w:val="44"/>
      <w:szCs w:val="44"/>
    </w:rPr>
  </w:style>
  <w:style w:type="paragraph" w:styleId="17">
    <w:name w:val="List Paragraph"/>
    <w:basedOn w:val="1"/>
    <w:qFormat/>
    <w:uiPriority w:val="34"/>
    <w:pPr>
      <w:ind w:firstLine="420" w:firstLineChars="200"/>
    </w:pPr>
  </w:style>
  <w:style w:type="character" w:customStyle="1" w:styleId="18">
    <w:name w:val="标题 2 字符"/>
    <w:basedOn w:val="14"/>
    <w:link w:val="3"/>
    <w:qFormat/>
    <w:uiPriority w:val="9"/>
    <w:rPr>
      <w:rFonts w:asciiTheme="majorHAnsi" w:hAnsiTheme="majorHAnsi" w:eastAsiaTheme="majorEastAsia" w:cstheme="majorBidi"/>
      <w:b/>
      <w:bCs/>
      <w:sz w:val="32"/>
      <w:szCs w:val="32"/>
    </w:rPr>
  </w:style>
  <w:style w:type="paragraph" w:customStyle="1" w:styleId="1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0">
    <w:name w:val="页眉 字符"/>
    <w:basedOn w:val="14"/>
    <w:link w:val="6"/>
    <w:qFormat/>
    <w:uiPriority w:val="99"/>
    <w:rPr>
      <w:rFonts w:ascii="Calibri" w:hAnsi="Calibri" w:eastAsia="宋体" w:cs="Times New Roman"/>
      <w:sz w:val="18"/>
      <w:szCs w:val="18"/>
    </w:rPr>
  </w:style>
  <w:style w:type="character" w:customStyle="1" w:styleId="21">
    <w:name w:val="页脚 字符"/>
    <w:basedOn w:val="14"/>
    <w:link w:val="5"/>
    <w:qFormat/>
    <w:uiPriority w:val="99"/>
    <w:rPr>
      <w:rFonts w:ascii="Calibri" w:hAnsi="Calibri" w:eastAsia="宋体" w:cs="Times New Roman"/>
      <w:sz w:val="18"/>
      <w:szCs w:val="18"/>
    </w:rPr>
  </w:style>
  <w:style w:type="character" w:customStyle="1" w:styleId="22">
    <w:name w:val="标题 1 Char"/>
    <w:qFormat/>
    <w:uiPriority w:val="0"/>
    <w:rPr>
      <w:rFonts w:ascii="Times New Roman" w:hAnsi="Times New Roman"/>
      <w:b/>
      <w:bCs/>
      <w:kern w:val="44"/>
      <w:sz w:val="24"/>
      <w:szCs w:val="44"/>
    </w:rPr>
  </w:style>
  <w:style w:type="paragraph" w:styleId="23">
    <w:name w:val="No Spacing"/>
    <w:link w:val="24"/>
    <w:qFormat/>
    <w:uiPriority w:val="1"/>
    <w:rPr>
      <w:rFonts w:asciiTheme="minorHAnsi" w:hAnsiTheme="minorHAnsi" w:eastAsiaTheme="minorEastAsia" w:cstheme="minorBidi"/>
      <w:sz w:val="22"/>
      <w:szCs w:val="22"/>
      <w:lang w:val="en-US" w:eastAsia="zh-CN" w:bidi="ar-SA"/>
    </w:rPr>
  </w:style>
  <w:style w:type="character" w:customStyle="1" w:styleId="24">
    <w:name w:val="无间隔 字符"/>
    <w:basedOn w:val="14"/>
    <w:link w:val="23"/>
    <w:qFormat/>
    <w:uiPriority w:val="1"/>
    <w:rPr>
      <w:kern w:val="0"/>
      <w:sz w:val="22"/>
    </w:rPr>
  </w:style>
  <w:style w:type="paragraph" w:customStyle="1" w:styleId="25">
    <w:name w:val="默认段落字体 Para Char"/>
    <w:basedOn w:val="1"/>
    <w:qFormat/>
    <w:uiPriority w:val="0"/>
    <w:rPr>
      <w:rFonts w:ascii="Times New Roman" w:hAnsi="Times New Roman"/>
      <w:sz w:val="24"/>
      <w:szCs w:val="20"/>
    </w:rPr>
  </w:style>
  <w:style w:type="paragraph" w:customStyle="1" w:styleId="26">
    <w:name w:val="表格文字"/>
    <w:basedOn w:val="1"/>
    <w:qFormat/>
    <w:uiPriority w:val="0"/>
    <w:pPr>
      <w:spacing w:before="25" w:after="25"/>
      <w:jc w:val="left"/>
    </w:pPr>
    <w:rPr>
      <w:rFonts w:ascii="Times New Roman" w:hAnsi="Times New Roman"/>
      <w:bCs/>
      <w:spacing w:val="10"/>
      <w:kern w:val="0"/>
      <w:sz w:val="24"/>
      <w:szCs w:val="20"/>
    </w:rPr>
  </w:style>
  <w:style w:type="character" w:customStyle="1" w:styleId="27">
    <w:name w:val="副标题 字符"/>
    <w:basedOn w:val="14"/>
    <w:link w:val="8"/>
    <w:qFormat/>
    <w:uiPriority w:val="11"/>
    <w:rPr>
      <w:b/>
      <w:bCs/>
      <w:kern w:val="28"/>
      <w:sz w:val="32"/>
      <w:szCs w:val="32"/>
    </w:rPr>
  </w:style>
  <w:style w:type="character" w:customStyle="1" w:styleId="28">
    <w:name w:val="标题 字符"/>
    <w:basedOn w:val="14"/>
    <w:link w:val="11"/>
    <w:qFormat/>
    <w:uiPriority w:val="10"/>
    <w:rPr>
      <w:rFonts w:asciiTheme="majorHAnsi" w:hAnsiTheme="majorHAnsi" w:eastAsiaTheme="majorEastAsia" w:cstheme="majorBidi"/>
      <w:b/>
      <w:bCs/>
      <w:sz w:val="32"/>
      <w:szCs w:val="32"/>
    </w:rPr>
  </w:style>
  <w:style w:type="character" w:customStyle="1" w:styleId="29">
    <w:name w:val="批注框文本 字符"/>
    <w:basedOn w:val="14"/>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verPageProperties xmlns="http://schemas.microsoft.com/office/2006/coverPageProps">
  <PublishDate>2019-02-01T00:00:00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CB7CF399-92D1-4959-A0E2-F37FE11C04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292</Words>
  <Characters>1666</Characters>
  <Lines>13</Lines>
  <Paragraphs>3</Paragraphs>
  <TotalTime>22</TotalTime>
  <ScaleCrop>false</ScaleCrop>
  <LinksUpToDate>false</LinksUpToDate>
  <CharactersWithSpaces>1955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2021-03-10T07:55:00Z</dcterms:created>
  <dc:creator>Administrator</dc:creator>
  <cp:lastModifiedBy>黑白配</cp:lastModifiedBy>
  <cp:lastPrinted>2020-12-18T02:16:00Z</cp:lastPrinted>
  <dcterms:modified xsi:type="dcterms:W3CDTF">2022-03-04T09:30:36Z</dcterms:modified>
  <dc:subject>技术参数</dc:subject>
  <dc:title>辅助生殖综合管理系统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A27421F0A5F4444A856702ABE97D9711</vt:lpwstr>
  </property>
</Properties>
</file>