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5C0FE" w14:textId="77777777" w:rsidR="00BD4F21" w:rsidRDefault="00BD4F21" w:rsidP="00BD4F21">
      <w:pPr>
        <w:adjustRightInd w:val="0"/>
        <w:snapToGrid w:val="0"/>
        <w:spacing w:line="580" w:lineRule="exact"/>
        <w:rPr>
          <w:rFonts w:ascii="黑体" w:eastAsia="黑体" w:hAnsi="宋体" w:cs="黑体"/>
          <w:szCs w:val="32"/>
        </w:rPr>
      </w:pPr>
      <w:bookmarkStart w:id="0" w:name="OLE_LINK2"/>
      <w:r>
        <w:rPr>
          <w:rFonts w:ascii="黑体" w:eastAsia="黑体" w:hAnsi="宋体" w:cs="黑体" w:hint="eastAsia"/>
          <w:szCs w:val="32"/>
        </w:rPr>
        <w:t>附件</w:t>
      </w:r>
      <w:bookmarkEnd w:id="0"/>
      <w:r>
        <w:rPr>
          <w:rFonts w:ascii="黑体" w:eastAsia="黑体" w:hAnsi="宋体" w:cs="黑体" w:hint="eastAsia"/>
          <w:szCs w:val="32"/>
        </w:rPr>
        <w:t>2</w:t>
      </w:r>
    </w:p>
    <w:p w14:paraId="2C49A744" w14:textId="77777777" w:rsidR="00BD4F21" w:rsidRDefault="00BD4F21" w:rsidP="00BD4F21">
      <w:pPr>
        <w:spacing w:line="360" w:lineRule="auto"/>
        <w:jc w:val="center"/>
        <w:rPr>
          <w:rFonts w:ascii="宋体" w:eastAsia="宋体" w:hAnsi="宋体" w:cs="宋体"/>
          <w:b/>
          <w:sz w:val="44"/>
          <w:szCs w:val="44"/>
        </w:rPr>
      </w:pPr>
      <w:r>
        <w:rPr>
          <w:rFonts w:ascii="宋体" w:eastAsia="宋体" w:hAnsi="宋体" w:cs="宋体" w:hint="eastAsia"/>
          <w:b/>
          <w:sz w:val="44"/>
          <w:szCs w:val="44"/>
        </w:rPr>
        <w:t>人体器官获取组织质量控制指标</w:t>
      </w:r>
    </w:p>
    <w:p w14:paraId="20A2B120"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 xml:space="preserve"> </w:t>
      </w:r>
    </w:p>
    <w:p w14:paraId="1C71CECD" w14:textId="77777777" w:rsidR="00BD4F21" w:rsidRDefault="00BD4F21" w:rsidP="00BD4F21">
      <w:pPr>
        <w:adjustRightInd w:val="0"/>
        <w:snapToGrid w:val="0"/>
        <w:spacing w:line="360" w:lineRule="auto"/>
        <w:ind w:firstLineChars="200" w:firstLine="640"/>
        <w:rPr>
          <w:rFonts w:ascii="黑体" w:eastAsia="黑体" w:hAnsi="宋体" w:cs="黑体"/>
          <w:szCs w:val="32"/>
        </w:rPr>
      </w:pPr>
      <w:r>
        <w:rPr>
          <w:rFonts w:ascii="黑体" w:eastAsia="黑体" w:hAnsi="宋体" w:cs="黑体" w:hint="eastAsia"/>
          <w:szCs w:val="32"/>
        </w:rPr>
        <w:t>一、器官捐献转化率</w:t>
      </w:r>
    </w:p>
    <w:p w14:paraId="55174E76"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定义：在人体器官获取组织（OPO）服务区域内，年度完成器官获取的器官捐献者数量占潜在捐献者总数的比例。</w:t>
      </w:r>
    </w:p>
    <w:p w14:paraId="7A29E359"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计算公式：</w:t>
      </w:r>
    </w:p>
    <w:p w14:paraId="3403CF69" w14:textId="77777777" w:rsidR="00BD4F21" w:rsidRDefault="00BD4F21" w:rsidP="00BD4F21">
      <w:pPr>
        <w:adjustRightInd w:val="0"/>
        <w:snapToGrid w:val="0"/>
        <w:spacing w:line="360" w:lineRule="auto"/>
        <w:rPr>
          <w:rFonts w:ascii="宋体" w:eastAsia="宋体" w:hAnsi="宋体" w:cs="仿宋_GB2312"/>
          <w:sz w:val="24"/>
          <w:szCs w:val="32"/>
        </w:rPr>
      </w:pPr>
      <w:r>
        <w:rPr>
          <w:rFonts w:ascii="宋体" w:eastAsia="宋体" w:hAnsi="宋体" w:cs="仿宋_GB2312" w:hint="eastAsia"/>
          <w:sz w:val="24"/>
          <w:szCs w:val="32"/>
        </w:rPr>
        <w:t xml:space="preserve">     </w:t>
      </w:r>
      <w:r>
        <w:rPr>
          <w:position w:val="-22"/>
          <w:szCs w:val="32"/>
        </w:rPr>
        <w:object w:dxaOrig="5707" w:dyaOrig="704" w14:anchorId="2FC7D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35pt" o:ole="">
            <v:imagedata r:id="rId6" o:title=""/>
          </v:shape>
          <o:OLEObject Type="Embed" ProgID="Equation.KSEE3" ShapeID="_x0000_i1025" DrawAspect="Content" ObjectID="_1614089246" r:id="rId7"/>
        </w:object>
      </w:r>
    </w:p>
    <w:p w14:paraId="1138AF36"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意义：体现器官捐献和OPO器官获取工作能力。</w:t>
      </w:r>
    </w:p>
    <w:p w14:paraId="46A669B5" w14:textId="77777777" w:rsidR="00BD4F21" w:rsidRDefault="00BD4F21" w:rsidP="00BD4F21">
      <w:pPr>
        <w:adjustRightInd w:val="0"/>
        <w:snapToGrid w:val="0"/>
        <w:spacing w:line="360" w:lineRule="auto"/>
        <w:ind w:firstLineChars="200" w:firstLine="640"/>
        <w:rPr>
          <w:rFonts w:ascii="黑体" w:eastAsia="黑体" w:hAnsi="宋体" w:cs="黑体"/>
          <w:szCs w:val="32"/>
        </w:rPr>
      </w:pPr>
      <w:r>
        <w:rPr>
          <w:rFonts w:ascii="黑体" w:eastAsia="黑体" w:hAnsi="宋体" w:cs="黑体" w:hint="eastAsia"/>
          <w:szCs w:val="32"/>
        </w:rPr>
        <w:t>二、平均器官产出率</w:t>
      </w:r>
    </w:p>
    <w:p w14:paraId="79321C58"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定义：在OPO服务区域内，年度获取并完成移植的器官数量与器官捐献者总数的比例。</w:t>
      </w:r>
    </w:p>
    <w:p w14:paraId="127642C6"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计算公式：</w:t>
      </w:r>
    </w:p>
    <w:p w14:paraId="5DEC617F" w14:textId="77777777" w:rsidR="00BD4F21" w:rsidRDefault="00BD4F21" w:rsidP="00BD4F21">
      <w:pPr>
        <w:adjustRightInd w:val="0"/>
        <w:snapToGrid w:val="0"/>
        <w:spacing w:line="360" w:lineRule="auto"/>
        <w:rPr>
          <w:rFonts w:ascii="宋体" w:eastAsia="宋体" w:hAnsi="宋体" w:cs="仿宋_GB2312"/>
          <w:sz w:val="22"/>
          <w:szCs w:val="32"/>
        </w:rPr>
      </w:pPr>
      <w:r>
        <w:rPr>
          <w:rFonts w:ascii="宋体" w:eastAsia="宋体" w:hAnsi="宋体" w:cs="仿宋_GB2312" w:hint="eastAsia"/>
          <w:sz w:val="22"/>
          <w:szCs w:val="32"/>
        </w:rPr>
        <w:t xml:space="preserve">     </w:t>
      </w:r>
      <w:r>
        <w:rPr>
          <w:rFonts w:ascii="仿宋_GB2312" w:hAnsi="宋体" w:cs="仿宋_GB2312" w:hint="eastAsia"/>
          <w:position w:val="-22"/>
          <w:szCs w:val="32"/>
        </w:rPr>
        <w:object w:dxaOrig="4501" w:dyaOrig="720" w14:anchorId="20FAD175">
          <v:shape id="_x0000_i1026" type="#_x0000_t75" style="width:225pt;height:36pt" o:ole="">
            <v:imagedata r:id="rId8" o:title=""/>
          </v:shape>
          <o:OLEObject Type="Embed" ProgID="Equation.KSEE3" ShapeID="_x0000_i1026" DrawAspect="Content" ObjectID="_1614089247" r:id="rId9"/>
        </w:object>
      </w:r>
    </w:p>
    <w:p w14:paraId="50652E7C" w14:textId="77777777" w:rsidR="00BD4F21" w:rsidRDefault="00BD4F21" w:rsidP="00BD4F21">
      <w:pPr>
        <w:adjustRightInd w:val="0"/>
        <w:snapToGrid w:val="0"/>
        <w:spacing w:line="360" w:lineRule="auto"/>
        <w:ind w:firstLineChars="200" w:firstLine="640"/>
        <w:rPr>
          <w:rFonts w:ascii="黑体" w:eastAsia="黑体" w:hAnsi="宋体" w:cs="黑体"/>
          <w:szCs w:val="32"/>
        </w:rPr>
      </w:pPr>
      <w:r>
        <w:rPr>
          <w:rFonts w:ascii="仿宋_GB2312" w:hAnsi="宋体" w:cs="仿宋_GB2312" w:hint="eastAsia"/>
          <w:szCs w:val="32"/>
        </w:rPr>
        <w:t>意义：体现器官捐献和OPO器官获取工作能力。</w:t>
      </w:r>
    </w:p>
    <w:p w14:paraId="54B533B9" w14:textId="77777777" w:rsidR="00BD4F21" w:rsidRDefault="00BD4F21" w:rsidP="00BD4F21">
      <w:pPr>
        <w:adjustRightInd w:val="0"/>
        <w:snapToGrid w:val="0"/>
        <w:spacing w:line="360" w:lineRule="auto"/>
        <w:ind w:firstLineChars="200" w:firstLine="640"/>
        <w:rPr>
          <w:rFonts w:ascii="黑体" w:eastAsia="黑体" w:hAnsi="宋体" w:cs="黑体"/>
          <w:szCs w:val="32"/>
        </w:rPr>
      </w:pPr>
      <w:r>
        <w:rPr>
          <w:rFonts w:ascii="黑体" w:eastAsia="黑体" w:hAnsi="宋体" w:cs="黑体" w:hint="eastAsia"/>
          <w:szCs w:val="32"/>
        </w:rPr>
        <w:t>三、器官捐献</w:t>
      </w:r>
      <w:proofErr w:type="gramStart"/>
      <w:r>
        <w:rPr>
          <w:rFonts w:ascii="黑体" w:eastAsia="黑体" w:hAnsi="宋体" w:cs="黑体" w:hint="eastAsia"/>
          <w:szCs w:val="32"/>
        </w:rPr>
        <w:t>分类占</w:t>
      </w:r>
      <w:proofErr w:type="gramEnd"/>
      <w:r>
        <w:rPr>
          <w:rFonts w:ascii="黑体" w:eastAsia="黑体" w:hAnsi="宋体" w:cs="黑体" w:hint="eastAsia"/>
          <w:szCs w:val="32"/>
        </w:rPr>
        <w:t>比</w:t>
      </w:r>
    </w:p>
    <w:p w14:paraId="468E1088"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定义：脑死亡来源器官捐献者（DBD）、心脏死亡来源器官捐献者（DCD）、脑</w:t>
      </w:r>
      <w:proofErr w:type="gramStart"/>
      <w:r>
        <w:rPr>
          <w:rFonts w:ascii="仿宋_GB2312" w:hAnsi="宋体" w:cs="仿宋_GB2312" w:hint="eastAsia"/>
          <w:szCs w:val="32"/>
        </w:rPr>
        <w:t>心双死亡</w:t>
      </w:r>
      <w:proofErr w:type="gramEnd"/>
      <w:r>
        <w:rPr>
          <w:rFonts w:ascii="仿宋_GB2312" w:hAnsi="宋体" w:cs="仿宋_GB2312" w:hint="eastAsia"/>
          <w:szCs w:val="32"/>
        </w:rPr>
        <w:t>来源器官捐献者（DBCD）数量分别占同期器官捐献者总数的比例。</w:t>
      </w:r>
    </w:p>
    <w:p w14:paraId="531D0074"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计算公式：</w:t>
      </w:r>
    </w:p>
    <w:p w14:paraId="1AA7542F" w14:textId="77777777" w:rsidR="00BD4F21" w:rsidRDefault="00BD4F21" w:rsidP="00BD4F21">
      <w:pPr>
        <w:adjustRightInd w:val="0"/>
        <w:snapToGrid w:val="0"/>
        <w:spacing w:line="360" w:lineRule="auto"/>
        <w:jc w:val="left"/>
        <w:rPr>
          <w:rFonts w:ascii="宋体" w:eastAsia="宋体" w:hAnsi="宋体" w:cs="仿宋_GB2312"/>
          <w:sz w:val="24"/>
          <w:szCs w:val="32"/>
        </w:rPr>
      </w:pPr>
      <w:r>
        <w:rPr>
          <w:rFonts w:ascii="宋体" w:eastAsia="宋体" w:hAnsi="宋体" w:cs="仿宋_GB2312" w:hint="eastAsia"/>
          <w:sz w:val="24"/>
          <w:szCs w:val="32"/>
        </w:rPr>
        <w:t xml:space="preserve">     </w:t>
      </w:r>
      <w:r>
        <w:rPr>
          <w:rFonts w:ascii="仿宋_GB2312" w:hAnsi="宋体" w:cs="仿宋_GB2312" w:hint="eastAsia"/>
          <w:position w:val="-22"/>
          <w:szCs w:val="32"/>
        </w:rPr>
        <w:object w:dxaOrig="7627" w:dyaOrig="657" w14:anchorId="51423C63">
          <v:shape id="_x0000_i1027" type="#_x0000_t75" style="width:381.5pt;height:33pt" o:ole="">
            <v:imagedata r:id="rId10" o:title=""/>
          </v:shape>
          <o:OLEObject Type="Embed" ProgID="Equation.KSEE3" ShapeID="_x0000_i1027" DrawAspect="Content" ObjectID="_1614089248" r:id="rId11"/>
        </w:object>
      </w:r>
    </w:p>
    <w:p w14:paraId="20555416"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lastRenderedPageBreak/>
        <w:t>意义：反映获取器官来源占比情况。</w:t>
      </w:r>
    </w:p>
    <w:p w14:paraId="04878EA3" w14:textId="77777777" w:rsidR="00BD4F21" w:rsidRDefault="00BD4F21" w:rsidP="00BD4F21">
      <w:pPr>
        <w:adjustRightInd w:val="0"/>
        <w:snapToGrid w:val="0"/>
        <w:spacing w:line="360" w:lineRule="auto"/>
        <w:ind w:firstLineChars="200" w:firstLine="640"/>
        <w:rPr>
          <w:rFonts w:ascii="黑体" w:eastAsia="黑体" w:hAnsi="宋体" w:cs="黑体"/>
          <w:szCs w:val="32"/>
        </w:rPr>
      </w:pPr>
      <w:r>
        <w:rPr>
          <w:rFonts w:ascii="黑体" w:eastAsia="黑体" w:hAnsi="宋体" w:cs="黑体" w:hint="eastAsia"/>
          <w:szCs w:val="32"/>
        </w:rPr>
        <w:t>四、获取器官利用率</w:t>
      </w:r>
    </w:p>
    <w:p w14:paraId="5F77B0FF"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定义：器官获取后用于移植的器官数量占同期获取器官总数的比例。</w:t>
      </w:r>
    </w:p>
    <w:p w14:paraId="0DCDFFCE"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计算公式：</w:t>
      </w:r>
    </w:p>
    <w:p w14:paraId="32DB3B28"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position w:val="-22"/>
          <w:szCs w:val="32"/>
        </w:rPr>
        <w:object w:dxaOrig="5364" w:dyaOrig="660" w14:anchorId="7513755B">
          <v:shape id="_x0000_i1028" type="#_x0000_t75" style="width:268pt;height:33pt" o:ole="">
            <v:imagedata r:id="rId12" o:title=""/>
          </v:shape>
          <o:OLEObject Type="Embed" ProgID="Equation.KSEE3" ShapeID="_x0000_i1028" DrawAspect="Content" ObjectID="_1614089249" r:id="rId13"/>
        </w:object>
      </w:r>
    </w:p>
    <w:p w14:paraId="1F7945A6"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意义：</w:t>
      </w:r>
      <w:r>
        <w:rPr>
          <w:rFonts w:ascii="仿宋_GB2312" w:cs="仿宋_GB2312" w:hint="eastAsia"/>
          <w:szCs w:val="32"/>
        </w:rPr>
        <w:t>评价OPO对器官捐献供者维护、器官质量评估及转化为合适移植器官的能力。</w:t>
      </w:r>
    </w:p>
    <w:p w14:paraId="0A71BC29" w14:textId="77777777" w:rsidR="00BD4F21" w:rsidRDefault="00BD4F21" w:rsidP="00BD4F21">
      <w:pPr>
        <w:adjustRightInd w:val="0"/>
        <w:snapToGrid w:val="0"/>
        <w:spacing w:line="360" w:lineRule="auto"/>
        <w:ind w:firstLineChars="200" w:firstLine="640"/>
        <w:rPr>
          <w:rFonts w:ascii="黑体" w:eastAsia="黑体" w:hAnsi="宋体" w:cs="黑体"/>
          <w:szCs w:val="32"/>
        </w:rPr>
      </w:pPr>
      <w:r>
        <w:rPr>
          <w:rFonts w:ascii="黑体" w:eastAsia="黑体" w:hAnsi="宋体" w:cs="黑体" w:hint="eastAsia"/>
          <w:szCs w:val="32"/>
        </w:rPr>
        <w:t>五、器官病理检查率</w:t>
      </w:r>
    </w:p>
    <w:p w14:paraId="484C35FA" w14:textId="77777777" w:rsidR="00BD4F21" w:rsidRDefault="00BD4F21" w:rsidP="00BD4F21">
      <w:pPr>
        <w:adjustRightInd w:val="0"/>
        <w:snapToGrid w:val="0"/>
        <w:spacing w:line="360" w:lineRule="auto"/>
        <w:ind w:firstLineChars="200" w:firstLine="643"/>
        <w:rPr>
          <w:rFonts w:ascii="楷体_GB2312" w:eastAsia="楷体_GB2312" w:cs="楷体_GB2312"/>
          <w:b/>
          <w:szCs w:val="32"/>
        </w:rPr>
      </w:pPr>
      <w:r>
        <w:rPr>
          <w:rFonts w:ascii="楷体_GB2312" w:eastAsia="楷体_GB2312" w:cs="楷体_GB2312" w:hint="eastAsia"/>
          <w:b/>
          <w:szCs w:val="32"/>
        </w:rPr>
        <w:t>（一）捐献器官获取前活检率。</w:t>
      </w:r>
    </w:p>
    <w:p w14:paraId="2EBFA3CB"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定义：捐献器官获取前对捐献器官进行活体组织病理检查的数量占同期获取器官的比例。</w:t>
      </w:r>
    </w:p>
    <w:p w14:paraId="08FB72C6"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计算公式：</w:t>
      </w:r>
    </w:p>
    <w:p w14:paraId="316EC91B"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position w:val="-22"/>
          <w:szCs w:val="32"/>
        </w:rPr>
        <w:object w:dxaOrig="6156" w:dyaOrig="672" w14:anchorId="068A2AA2">
          <v:shape id="_x0000_i1029" type="#_x0000_t75" style="width:308pt;height:33.5pt" o:ole="">
            <v:imagedata r:id="rId14" o:title=""/>
          </v:shape>
          <o:OLEObject Type="Embed" ProgID="Equation.KSEE3" ShapeID="_x0000_i1029" DrawAspect="Content" ObjectID="_1614089250" r:id="rId15"/>
        </w:object>
      </w:r>
    </w:p>
    <w:p w14:paraId="0225ECF9"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意义：反映捐献器官获取前器官质量评估情况。</w:t>
      </w:r>
    </w:p>
    <w:p w14:paraId="0400CFF9" w14:textId="77777777" w:rsidR="00BD4F21" w:rsidRDefault="00BD4F21" w:rsidP="00BD4F21">
      <w:pPr>
        <w:adjustRightInd w:val="0"/>
        <w:snapToGrid w:val="0"/>
        <w:spacing w:line="360" w:lineRule="auto"/>
        <w:ind w:firstLineChars="200" w:firstLine="643"/>
        <w:rPr>
          <w:rFonts w:ascii="仿宋_GB2312" w:hAnsi="宋体" w:cs="仿宋_GB2312"/>
          <w:szCs w:val="32"/>
        </w:rPr>
      </w:pPr>
      <w:r>
        <w:rPr>
          <w:rFonts w:ascii="楷体_GB2312" w:eastAsia="楷体_GB2312" w:cs="楷体_GB2312" w:hint="eastAsia"/>
          <w:b/>
          <w:szCs w:val="32"/>
        </w:rPr>
        <w:t>（二）捐献器官获取后活检率。</w:t>
      </w:r>
    </w:p>
    <w:p w14:paraId="2E3729D3"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定义：捐献器官获取后移植前对捐献器官进行活体组织病理检查的数量占同期获取器官的比例。</w:t>
      </w:r>
    </w:p>
    <w:p w14:paraId="154C4E20"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计算公式：</w:t>
      </w:r>
    </w:p>
    <w:p w14:paraId="2B5DDAFC" w14:textId="77777777" w:rsidR="00BD4F21" w:rsidRDefault="00BD4F21" w:rsidP="00BD4F21">
      <w:pPr>
        <w:adjustRightInd w:val="0"/>
        <w:snapToGrid w:val="0"/>
        <w:spacing w:line="360" w:lineRule="auto"/>
        <w:ind w:firstLineChars="355" w:firstLine="639"/>
        <w:rPr>
          <w:rFonts w:ascii="宋体" w:eastAsia="宋体" w:hAnsi="宋体" w:cs="仿宋_GB2312"/>
          <w:sz w:val="18"/>
          <w:szCs w:val="21"/>
        </w:rPr>
      </w:pPr>
      <w:r>
        <w:rPr>
          <w:rFonts w:ascii="宋体" w:eastAsia="宋体" w:hAnsi="宋体" w:cs="仿宋_GB2312" w:hint="eastAsia"/>
          <w:position w:val="-26"/>
          <w:sz w:val="18"/>
          <w:szCs w:val="21"/>
        </w:rPr>
        <w:object w:dxaOrig="6840" w:dyaOrig="660" w14:anchorId="7D924504">
          <v:shape id="_x0000_i1030" type="#_x0000_t75" style="width:342pt;height:33pt" o:ole="">
            <v:imagedata r:id="rId16" o:title=""/>
          </v:shape>
          <o:OLEObject Type="Embed" ProgID="Equation.KSEE3" ShapeID="_x0000_i1030" DrawAspect="Content" ObjectID="_1614089251" r:id="rId17"/>
        </w:object>
      </w:r>
    </w:p>
    <w:p w14:paraId="4AA6BDF7"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意义：反映捐献器官获取后器官质量评估情况。</w:t>
      </w:r>
    </w:p>
    <w:p w14:paraId="79D288B4" w14:textId="77777777" w:rsidR="00BD4F21" w:rsidRDefault="00BD4F21" w:rsidP="00BD4F21">
      <w:pPr>
        <w:adjustRightInd w:val="0"/>
        <w:snapToGrid w:val="0"/>
        <w:spacing w:line="360" w:lineRule="auto"/>
        <w:ind w:firstLineChars="200" w:firstLine="640"/>
        <w:rPr>
          <w:rFonts w:ascii="黑体" w:eastAsia="黑体" w:hAnsi="宋体" w:cs="黑体"/>
          <w:szCs w:val="32"/>
        </w:rPr>
      </w:pPr>
      <w:r>
        <w:rPr>
          <w:rFonts w:ascii="黑体" w:eastAsia="黑体" w:hAnsi="宋体" w:cs="黑体" w:hint="eastAsia"/>
          <w:szCs w:val="32"/>
        </w:rPr>
        <w:lastRenderedPageBreak/>
        <w:t>六、边缘供器官比率</w:t>
      </w:r>
    </w:p>
    <w:p w14:paraId="1CD34CFD"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定义：边缘供器官（定义和标准见备注）数量占同期获取器官总数的比例。</w:t>
      </w:r>
    </w:p>
    <w:p w14:paraId="713D5974"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计算公式：</w:t>
      </w:r>
    </w:p>
    <w:p w14:paraId="599DA549" w14:textId="77777777" w:rsidR="00BD4F21" w:rsidRDefault="00BD4F21" w:rsidP="00BD4F21">
      <w:pPr>
        <w:adjustRightInd w:val="0"/>
        <w:snapToGrid w:val="0"/>
        <w:spacing w:line="360" w:lineRule="auto"/>
        <w:rPr>
          <w:rFonts w:ascii="宋体" w:eastAsia="宋体" w:hAnsi="宋体" w:cs="仿宋_GB2312"/>
          <w:sz w:val="24"/>
          <w:szCs w:val="32"/>
        </w:rPr>
      </w:pPr>
      <w:r>
        <w:rPr>
          <w:rFonts w:ascii="宋体" w:eastAsia="宋体" w:hAnsi="宋体" w:cs="仿宋_GB2312" w:hint="eastAsia"/>
          <w:sz w:val="24"/>
          <w:szCs w:val="32"/>
        </w:rPr>
        <w:t xml:space="preserve">     </w:t>
      </w:r>
      <w:bookmarkStart w:id="1" w:name="_GoBack"/>
      <w:r>
        <w:rPr>
          <w:rFonts w:ascii="宋体" w:eastAsia="宋体" w:hAnsi="宋体" w:cs="仿宋_GB2312" w:hint="eastAsia"/>
          <w:position w:val="-26"/>
          <w:sz w:val="24"/>
          <w:szCs w:val="32"/>
        </w:rPr>
        <w:object w:dxaOrig="5140" w:dyaOrig="660" w14:anchorId="6F6EA52F">
          <v:shape id="_x0000_i1031" type="#_x0000_t75" style="width:257pt;height:33pt" o:ole="">
            <v:imagedata r:id="rId18" o:title=""/>
          </v:shape>
          <o:OLEObject Type="Embed" ProgID="Equation.KSEE3" ShapeID="_x0000_i1031" DrawAspect="Content" ObjectID="_1614089252" r:id="rId19"/>
        </w:object>
      </w:r>
      <w:bookmarkEnd w:id="1"/>
    </w:p>
    <w:p w14:paraId="0FDABBF6" w14:textId="77777777" w:rsidR="00BD4F21" w:rsidRDefault="00BD4F21" w:rsidP="00BD4F21">
      <w:pPr>
        <w:spacing w:line="360" w:lineRule="auto"/>
        <w:rPr>
          <w:rFonts w:ascii="黑体" w:eastAsia="黑体" w:hAnsi="宋体" w:cs="黑体"/>
          <w:szCs w:val="32"/>
        </w:rPr>
      </w:pPr>
      <w:r>
        <w:rPr>
          <w:rFonts w:ascii="仿宋_GB2312" w:hAnsi="宋体" w:cs="仿宋_GB2312" w:hint="eastAsia"/>
          <w:szCs w:val="32"/>
        </w:rPr>
        <w:t xml:space="preserve">    意义：</w:t>
      </w:r>
      <w:r>
        <w:rPr>
          <w:rFonts w:ascii="仿宋_GB2312" w:cs="仿宋_GB2312" w:hint="eastAsia"/>
          <w:szCs w:val="32"/>
        </w:rPr>
        <w:t>评估OPO产出器官质量。</w:t>
      </w:r>
    </w:p>
    <w:p w14:paraId="5569890F" w14:textId="77777777" w:rsidR="00BD4F21" w:rsidRDefault="00BD4F21" w:rsidP="00BD4F21">
      <w:pPr>
        <w:adjustRightInd w:val="0"/>
        <w:snapToGrid w:val="0"/>
        <w:spacing w:line="360" w:lineRule="auto"/>
        <w:ind w:firstLineChars="200" w:firstLine="640"/>
        <w:rPr>
          <w:rFonts w:ascii="黑体" w:eastAsia="黑体" w:hAnsi="宋体" w:cs="黑体"/>
          <w:szCs w:val="32"/>
        </w:rPr>
      </w:pPr>
      <w:r>
        <w:rPr>
          <w:rFonts w:ascii="黑体" w:eastAsia="黑体" w:hAnsi="宋体" w:cs="黑体" w:hint="eastAsia"/>
          <w:szCs w:val="32"/>
        </w:rPr>
        <w:t>七、器官保存液病原菌培养阳性率</w:t>
      </w:r>
    </w:p>
    <w:p w14:paraId="4CBBE33C"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定义：OPO获取的器官其保存液中病原菌培养阳性者器官数占器官获取总例数的比例。</w:t>
      </w:r>
    </w:p>
    <w:p w14:paraId="5F094604"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计算公式：</w:t>
      </w:r>
    </w:p>
    <w:p w14:paraId="01D003C3" w14:textId="77777777" w:rsidR="00BD4F21" w:rsidRDefault="00BD4F21" w:rsidP="00BD4F21">
      <w:pPr>
        <w:adjustRightInd w:val="0"/>
        <w:snapToGrid w:val="0"/>
        <w:spacing w:line="360" w:lineRule="auto"/>
        <w:ind w:leftChars="200" w:left="640"/>
        <w:rPr>
          <w:rFonts w:ascii="仿宋_GB2312" w:hAnsi="宋体" w:cs="仿宋_GB2312"/>
          <w:szCs w:val="32"/>
        </w:rPr>
      </w:pPr>
      <w:r>
        <w:rPr>
          <w:rFonts w:ascii="仿宋_GB2312" w:hAnsi="宋体" w:cs="仿宋_GB2312" w:hint="eastAsia"/>
          <w:position w:val="-26"/>
          <w:szCs w:val="32"/>
        </w:rPr>
        <w:object w:dxaOrig="6619" w:dyaOrig="660" w14:anchorId="02C3EA4C">
          <v:shape id="_x0000_i1032" type="#_x0000_t75" style="width:331pt;height:33pt" o:ole="">
            <v:imagedata r:id="rId20" o:title=""/>
          </v:shape>
          <o:OLEObject Type="Embed" ProgID="Equation.KSEE3" ShapeID="_x0000_i1032" DrawAspect="Content" ObjectID="_1614089253" r:id="rId21"/>
        </w:object>
      </w:r>
    </w:p>
    <w:p w14:paraId="242D106E"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意义：反映获取器官的安全性。</w:t>
      </w:r>
    </w:p>
    <w:p w14:paraId="6FDC1577" w14:textId="77777777" w:rsidR="00BD4F21" w:rsidRDefault="00BD4F21" w:rsidP="00BD4F21">
      <w:pPr>
        <w:adjustRightInd w:val="0"/>
        <w:snapToGrid w:val="0"/>
        <w:spacing w:line="360" w:lineRule="auto"/>
        <w:ind w:firstLineChars="200" w:firstLine="640"/>
        <w:rPr>
          <w:rFonts w:ascii="黑体" w:eastAsia="黑体" w:hAnsi="宋体" w:cs="黑体"/>
          <w:szCs w:val="32"/>
        </w:rPr>
      </w:pPr>
      <w:r>
        <w:rPr>
          <w:rFonts w:ascii="黑体" w:eastAsia="黑体" w:hAnsi="宋体" w:cs="黑体" w:hint="eastAsia"/>
          <w:szCs w:val="32"/>
        </w:rPr>
        <w:t>八、移植器官原发性无功能发生率（PNF发生率）</w:t>
      </w:r>
    </w:p>
    <w:p w14:paraId="69306E57"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定义：同年度捐献器官移植术后PNF并发症发生比例，包括总PNF发生率、DBD来源器官PNF发生率、DCD来源器官PNF发生率、DBCD来源器官PNF发生率。</w:t>
      </w:r>
    </w:p>
    <w:p w14:paraId="0205E00B"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计算公式：</w:t>
      </w:r>
      <w:r>
        <w:rPr>
          <w:rFonts w:ascii="仿宋_GB2312" w:hAnsi="宋体" w:cs="仿宋_GB2312" w:hint="eastAsia"/>
          <w:position w:val="-22"/>
          <w:szCs w:val="32"/>
        </w:rPr>
        <w:object w:dxaOrig="5120" w:dyaOrig="703" w14:anchorId="31002094">
          <v:shape id="_x0000_i1033" type="#_x0000_t75" style="width:256pt;height:35pt" o:ole="">
            <v:imagedata r:id="rId22" o:title=""/>
          </v:shape>
          <o:OLEObject Type="Embed" ProgID="Equation.KSEE3" ShapeID="_x0000_i1033" DrawAspect="Content" ObjectID="_1614089254" r:id="rId23"/>
        </w:object>
      </w:r>
    </w:p>
    <w:p w14:paraId="3670B0B5"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position w:val="-22"/>
          <w:szCs w:val="32"/>
        </w:rPr>
        <w:object w:dxaOrig="7572" w:dyaOrig="552" w14:anchorId="6CEEA5BB">
          <v:shape id="_x0000_i1034" type="#_x0000_t75" style="width:378.5pt;height:27.5pt" o:ole="">
            <v:imagedata r:id="rId24" o:title=""/>
          </v:shape>
          <o:OLEObject Type="Embed" ProgID="Equation.KSEE3" ShapeID="_x0000_i1034" DrawAspect="Content" ObjectID="_1614089255" r:id="rId25"/>
        </w:object>
      </w:r>
    </w:p>
    <w:p w14:paraId="1C37D7C4"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意义：反映OPO器官维护、质量评估能力。</w:t>
      </w:r>
    </w:p>
    <w:p w14:paraId="255D33AD" w14:textId="77777777" w:rsidR="00BD4F21" w:rsidRDefault="00BD4F21" w:rsidP="00BD4F21">
      <w:pPr>
        <w:adjustRightInd w:val="0"/>
        <w:snapToGrid w:val="0"/>
        <w:spacing w:line="360" w:lineRule="auto"/>
        <w:ind w:firstLineChars="200" w:firstLine="640"/>
        <w:rPr>
          <w:rFonts w:ascii="黑体" w:eastAsia="黑体" w:hAnsi="宋体" w:cs="黑体"/>
          <w:szCs w:val="32"/>
        </w:rPr>
      </w:pPr>
      <w:r>
        <w:rPr>
          <w:rFonts w:ascii="黑体" w:eastAsia="黑体" w:hAnsi="宋体" w:cs="黑体" w:hint="eastAsia"/>
          <w:szCs w:val="32"/>
        </w:rPr>
        <w:t>九、移植器官术后功能延迟性恢复发生率（DGF发生率）</w:t>
      </w:r>
    </w:p>
    <w:p w14:paraId="0394338A"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定义：同年度捐献器官移植术后DGF并发症发生比例，</w:t>
      </w:r>
      <w:r>
        <w:rPr>
          <w:rFonts w:ascii="仿宋_GB2312" w:hAnsi="宋体" w:cs="仿宋_GB2312" w:hint="eastAsia"/>
          <w:szCs w:val="32"/>
        </w:rPr>
        <w:lastRenderedPageBreak/>
        <w:t>包括总DGF发生率、DBD来源器官DGF发生率、DCD来源器官DGF发生率、DBCD来源器官DGF发生率。</w:t>
      </w:r>
    </w:p>
    <w:p w14:paraId="6789F7BE" w14:textId="77777777" w:rsidR="00BD4F21" w:rsidRDefault="00BD4F21" w:rsidP="00BD4F21">
      <w:pPr>
        <w:adjustRightInd w:val="0"/>
        <w:snapToGrid w:val="0"/>
        <w:spacing w:line="360" w:lineRule="auto"/>
        <w:ind w:firstLineChars="200" w:firstLine="640"/>
        <w:rPr>
          <w:rFonts w:ascii="仿宋_GB2312" w:hAnsi="宋体" w:cs="仿宋_GB2312"/>
          <w:sz w:val="28"/>
          <w:szCs w:val="32"/>
        </w:rPr>
      </w:pPr>
      <w:r>
        <w:rPr>
          <w:rFonts w:ascii="仿宋_GB2312" w:hAnsi="宋体" w:cs="仿宋_GB2312" w:hint="eastAsia"/>
          <w:szCs w:val="32"/>
        </w:rPr>
        <w:t>计算公式：</w:t>
      </w:r>
      <w:r>
        <w:rPr>
          <w:rFonts w:ascii="仿宋_GB2312" w:hAnsi="宋体" w:cs="仿宋_GB2312" w:hint="eastAsia"/>
          <w:position w:val="-22"/>
          <w:szCs w:val="32"/>
        </w:rPr>
        <w:object w:dxaOrig="5023" w:dyaOrig="683" w14:anchorId="1A58F138">
          <v:shape id="_x0000_i1035" type="#_x0000_t75" style="width:251pt;height:34pt" o:ole="">
            <v:imagedata r:id="rId26" o:title=""/>
          </v:shape>
          <o:OLEObject Type="Embed" ProgID="Equation.KSEE3" ShapeID="_x0000_i1035" DrawAspect="Content" ObjectID="_1614089256" r:id="rId27"/>
        </w:object>
      </w:r>
    </w:p>
    <w:p w14:paraId="32F22039"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position w:val="-22"/>
          <w:szCs w:val="32"/>
        </w:rPr>
        <w:object w:dxaOrig="7620" w:dyaOrig="564" w14:anchorId="612AB59A">
          <v:shape id="_x0000_i1036" type="#_x0000_t75" style="width:381pt;height:28pt" o:ole="">
            <v:imagedata r:id="rId28" o:title=""/>
          </v:shape>
          <o:OLEObject Type="Embed" ProgID="Equation.KSEE3" ShapeID="_x0000_i1036" DrawAspect="Content" ObjectID="_1614089257" r:id="rId29"/>
        </w:object>
      </w:r>
    </w:p>
    <w:p w14:paraId="0DCAE947" w14:textId="77777777" w:rsidR="00BD4F21" w:rsidRDefault="00BD4F21" w:rsidP="00BD4F21">
      <w:pPr>
        <w:adjustRightInd w:val="0"/>
        <w:snapToGrid w:val="0"/>
        <w:spacing w:line="360" w:lineRule="auto"/>
        <w:ind w:firstLineChars="200" w:firstLine="640"/>
        <w:rPr>
          <w:rFonts w:ascii="仿宋_GB2312" w:hAnsi="宋体" w:cs="仿宋_GB2312"/>
          <w:szCs w:val="32"/>
        </w:rPr>
      </w:pPr>
      <w:r>
        <w:rPr>
          <w:rFonts w:ascii="仿宋_GB2312" w:hAnsi="宋体" w:cs="仿宋_GB2312" w:hint="eastAsia"/>
          <w:szCs w:val="32"/>
        </w:rPr>
        <w:t>意义：反映OPO器官维护、质量评估能力。</w:t>
      </w:r>
    </w:p>
    <w:p w14:paraId="3C63EF9B" w14:textId="77777777" w:rsidR="00BD4F21" w:rsidRDefault="00BD4F21" w:rsidP="00BD4F21">
      <w:pPr>
        <w:adjustRightInd w:val="0"/>
        <w:snapToGrid w:val="0"/>
        <w:spacing w:line="360" w:lineRule="auto"/>
        <w:rPr>
          <w:rFonts w:ascii="仿宋_GB2312" w:hAnsi="宋体" w:cs="仿宋_GB2312"/>
          <w:szCs w:val="32"/>
        </w:rPr>
      </w:pPr>
    </w:p>
    <w:p w14:paraId="60EBEA98" w14:textId="77777777" w:rsidR="00BD4F21" w:rsidRDefault="00BD4F21" w:rsidP="00BD4F21">
      <w:pPr>
        <w:adjustRightInd w:val="0"/>
        <w:snapToGrid w:val="0"/>
        <w:spacing w:line="360" w:lineRule="auto"/>
        <w:ind w:firstLineChars="200" w:firstLine="640"/>
        <w:rPr>
          <w:rFonts w:ascii="黑体" w:eastAsia="黑体" w:hAnsi="宋体" w:cs="黑体"/>
          <w:szCs w:val="32"/>
        </w:rPr>
      </w:pPr>
      <w:r>
        <w:rPr>
          <w:rFonts w:ascii="黑体" w:eastAsia="黑体" w:hAnsi="宋体" w:cs="黑体" w:hint="eastAsia"/>
          <w:szCs w:val="32"/>
        </w:rPr>
        <w:t>备注：</w:t>
      </w:r>
    </w:p>
    <w:p w14:paraId="5593A887" w14:textId="77777777" w:rsidR="00BD4F21" w:rsidRDefault="00BD4F21" w:rsidP="00BD4F21">
      <w:pPr>
        <w:adjustRightInd w:val="0"/>
        <w:snapToGrid w:val="0"/>
        <w:spacing w:line="360" w:lineRule="auto"/>
        <w:ind w:firstLineChars="200" w:firstLine="640"/>
        <w:rPr>
          <w:rFonts w:ascii="黑体" w:eastAsia="黑体" w:hAnsi="黑体" w:cs="黑体"/>
          <w:bCs/>
          <w:szCs w:val="32"/>
        </w:rPr>
      </w:pPr>
      <w:r>
        <w:rPr>
          <w:rFonts w:ascii="黑体" w:eastAsia="黑体" w:hAnsi="黑体" w:cs="黑体" w:hint="eastAsia"/>
          <w:bCs/>
          <w:szCs w:val="32"/>
        </w:rPr>
        <w:t>边缘供器官定义及标准</w:t>
      </w:r>
    </w:p>
    <w:p w14:paraId="1CB51EAF" w14:textId="77777777" w:rsidR="00BD4F21" w:rsidRDefault="00BD4F21" w:rsidP="00BD4F21">
      <w:pPr>
        <w:adjustRightInd w:val="0"/>
        <w:snapToGrid w:val="0"/>
        <w:spacing w:line="360" w:lineRule="auto"/>
        <w:ind w:firstLineChars="200" w:firstLine="640"/>
        <w:rPr>
          <w:rFonts w:ascii="楷体_GB2312" w:eastAsia="楷体_GB2312" w:cs="楷体_GB2312"/>
          <w:b/>
          <w:szCs w:val="32"/>
        </w:rPr>
      </w:pPr>
      <w:r>
        <w:rPr>
          <w:rFonts w:ascii="仿宋_GB2312" w:cs="仿宋_GB2312" w:hint="eastAsia"/>
          <w:szCs w:val="32"/>
        </w:rPr>
        <w:t>边缘供器官是指移植后存在较高原发性移植物无功能或功能低下以及迟发性移植物失活风险的捐献器官。</w:t>
      </w:r>
    </w:p>
    <w:p w14:paraId="6B66D8AB" w14:textId="77777777" w:rsidR="00BD4F21" w:rsidRDefault="00BD4F21" w:rsidP="00BD4F21">
      <w:pPr>
        <w:adjustRightInd w:val="0"/>
        <w:snapToGrid w:val="0"/>
        <w:spacing w:line="360" w:lineRule="auto"/>
        <w:ind w:firstLineChars="200" w:firstLine="643"/>
        <w:rPr>
          <w:rFonts w:ascii="仿宋_GB2312" w:cs="仿宋_GB2312"/>
          <w:szCs w:val="32"/>
        </w:rPr>
      </w:pPr>
      <w:r>
        <w:rPr>
          <w:rFonts w:ascii="楷体_GB2312" w:eastAsia="楷体_GB2312" w:cs="楷体_GB2312" w:hint="eastAsia"/>
          <w:b/>
          <w:szCs w:val="32"/>
        </w:rPr>
        <w:t>（一）边缘供肝标准。</w:t>
      </w:r>
      <w:r>
        <w:rPr>
          <w:rFonts w:ascii="仿宋_GB2312" w:cs="仿宋_GB2312" w:hint="eastAsia"/>
          <w:szCs w:val="32"/>
        </w:rPr>
        <w:t xml:space="preserve">具有下列特征之一的属于边缘供肝： </w:t>
      </w:r>
    </w:p>
    <w:p w14:paraId="639301B1"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1.年龄＞65岁的捐献者肝脏；</w:t>
      </w:r>
    </w:p>
    <w:p w14:paraId="19B4E0F5"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2.供肝大泡性脂肪变＞30%或捐献者身体质量指数（BMI）＞30kg/m</w:t>
      </w:r>
      <w:r>
        <w:rPr>
          <w:rFonts w:ascii="仿宋_GB2312" w:cs="仿宋_GB2312" w:hint="eastAsia"/>
          <w:szCs w:val="32"/>
          <w:vertAlign w:val="superscript"/>
        </w:rPr>
        <w:t>2</w:t>
      </w:r>
      <w:r>
        <w:rPr>
          <w:rFonts w:ascii="仿宋_GB2312" w:cs="仿宋_GB2312" w:hint="eastAsia"/>
          <w:szCs w:val="32"/>
        </w:rPr>
        <w:t>；</w:t>
      </w:r>
    </w:p>
    <w:p w14:paraId="4B26E1EF"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3.心脏死亡捐献者肝脏或脑</w:t>
      </w:r>
      <w:proofErr w:type="gramStart"/>
      <w:r>
        <w:rPr>
          <w:rFonts w:ascii="仿宋_GB2312" w:cs="仿宋_GB2312" w:hint="eastAsia"/>
          <w:szCs w:val="32"/>
        </w:rPr>
        <w:t>心双死亡</w:t>
      </w:r>
      <w:proofErr w:type="gramEnd"/>
      <w:r>
        <w:rPr>
          <w:rFonts w:ascii="仿宋_GB2312" w:cs="仿宋_GB2312" w:hint="eastAsia"/>
          <w:szCs w:val="32"/>
        </w:rPr>
        <w:t>捐献者肝脏（功能性热缺血时间＞20分钟），或供肝冷缺血时间＞12小时；</w:t>
      </w:r>
    </w:p>
    <w:p w14:paraId="2DB659E1"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4.脑死亡供体中在重症监护病房所待时间＞7天，且获取时有多器官功能不全，血清总胆红素、血清转氨酶持续高于正常3倍以上；</w:t>
      </w:r>
    </w:p>
    <w:p w14:paraId="47A2CE3A"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5.血流动力学的危险因素，包括：长期的低血压（舒张</w:t>
      </w:r>
      <w:r>
        <w:rPr>
          <w:rFonts w:ascii="仿宋_GB2312" w:cs="仿宋_GB2312" w:hint="eastAsia"/>
          <w:szCs w:val="32"/>
        </w:rPr>
        <w:lastRenderedPageBreak/>
        <w:t>压＜60mmHg，＞2小时），应用多巴胺10μg/（kg•min），超过6小时以维持血压；或需要2种</w:t>
      </w:r>
      <w:proofErr w:type="gramStart"/>
      <w:r>
        <w:rPr>
          <w:rFonts w:ascii="仿宋_GB2312" w:cs="仿宋_GB2312" w:hint="eastAsia"/>
          <w:szCs w:val="32"/>
        </w:rPr>
        <w:t>缩</w:t>
      </w:r>
      <w:proofErr w:type="gramEnd"/>
      <w:r>
        <w:rPr>
          <w:rFonts w:ascii="仿宋_GB2312" w:cs="仿宋_GB2312" w:hint="eastAsia"/>
          <w:szCs w:val="32"/>
        </w:rPr>
        <w:t>血管药物维持血压达6小时以上；</w:t>
      </w:r>
    </w:p>
    <w:p w14:paraId="4BCE5778"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6.血钠浓度始终高于155mmol/L。</w:t>
      </w:r>
    </w:p>
    <w:p w14:paraId="45FE6C9D"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此外，ABO血型不相容供肝、劈裂</w:t>
      </w:r>
      <w:proofErr w:type="gramStart"/>
      <w:r>
        <w:rPr>
          <w:rFonts w:ascii="仿宋_GB2312" w:cs="仿宋_GB2312" w:hint="eastAsia"/>
          <w:szCs w:val="32"/>
        </w:rPr>
        <w:t>式供肝以及</w:t>
      </w:r>
      <w:proofErr w:type="gramEnd"/>
      <w:r>
        <w:rPr>
          <w:rFonts w:ascii="仿宋_GB2312" w:cs="仿宋_GB2312" w:hint="eastAsia"/>
          <w:szCs w:val="32"/>
        </w:rPr>
        <w:t>血清病毒学阳性、不能解释病死原因、患有肝外恶性疾病、活动性的细菌感染、高风险的生活方式等捐献肝脏也被纳入边缘供肝的范畴。</w:t>
      </w:r>
    </w:p>
    <w:p w14:paraId="4C998A97" w14:textId="77777777" w:rsidR="00BD4F21" w:rsidRDefault="00BD4F21" w:rsidP="00BD4F21">
      <w:pPr>
        <w:adjustRightInd w:val="0"/>
        <w:snapToGrid w:val="0"/>
        <w:spacing w:line="360" w:lineRule="auto"/>
        <w:ind w:firstLineChars="200" w:firstLine="643"/>
        <w:rPr>
          <w:rFonts w:ascii="仿宋_GB2312" w:cs="仿宋_GB2312"/>
          <w:szCs w:val="32"/>
        </w:rPr>
      </w:pPr>
      <w:r>
        <w:rPr>
          <w:rFonts w:ascii="楷体_GB2312" w:eastAsia="楷体_GB2312" w:cs="楷体_GB2312" w:hint="eastAsia"/>
          <w:b/>
          <w:szCs w:val="32"/>
        </w:rPr>
        <w:t>（二）边缘供肾标准。</w:t>
      </w:r>
      <w:r>
        <w:rPr>
          <w:rFonts w:ascii="仿宋_GB2312" w:cs="仿宋_GB2312" w:hint="eastAsia"/>
          <w:szCs w:val="32"/>
        </w:rPr>
        <w:t>具有下列特征之一的属于边缘供肾：</w:t>
      </w:r>
    </w:p>
    <w:p w14:paraId="3966AE9A"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1.年龄＞60岁，或年龄50～60岁且符合以下情况中的2项：（1）捐献前血清肌</w:t>
      </w:r>
      <w:proofErr w:type="gramStart"/>
      <w:r>
        <w:rPr>
          <w:rFonts w:ascii="仿宋_GB2312" w:cs="仿宋_GB2312" w:hint="eastAsia"/>
          <w:szCs w:val="32"/>
        </w:rPr>
        <w:t>酐</w:t>
      </w:r>
      <w:proofErr w:type="gramEnd"/>
      <w:r>
        <w:rPr>
          <w:rFonts w:ascii="仿宋_GB2312" w:cs="仿宋_GB2312" w:hint="eastAsia"/>
          <w:szCs w:val="32"/>
        </w:rPr>
        <w:t>（</w:t>
      </w:r>
      <w:proofErr w:type="spellStart"/>
      <w:r>
        <w:rPr>
          <w:rFonts w:ascii="仿宋_GB2312" w:cs="仿宋_GB2312" w:hint="eastAsia"/>
          <w:szCs w:val="32"/>
        </w:rPr>
        <w:t>Scr</w:t>
      </w:r>
      <w:proofErr w:type="spellEnd"/>
      <w:r>
        <w:rPr>
          <w:rFonts w:ascii="仿宋_GB2312" w:cs="仿宋_GB2312" w:hint="eastAsia"/>
          <w:szCs w:val="32"/>
        </w:rPr>
        <w:t>）水平＞1.5mg/dL；（2）有高血压病史,死于高血压脑卒中；</w:t>
      </w:r>
    </w:p>
    <w:p w14:paraId="33452B6E"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2.年龄≤3岁捐献肾脏，用于成人移植；</w:t>
      </w:r>
    </w:p>
    <w:p w14:paraId="7F9FDA7F"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3.BMI＞30kg/m</w:t>
      </w:r>
      <w:r>
        <w:rPr>
          <w:rFonts w:ascii="仿宋_GB2312" w:cs="仿宋_GB2312" w:hint="eastAsia"/>
          <w:szCs w:val="32"/>
          <w:vertAlign w:val="superscript"/>
        </w:rPr>
        <w:t>2</w:t>
      </w:r>
      <w:r>
        <w:rPr>
          <w:rFonts w:ascii="仿宋_GB2312" w:cs="仿宋_GB2312" w:hint="eastAsia"/>
          <w:szCs w:val="32"/>
        </w:rPr>
        <w:t>；</w:t>
      </w:r>
    </w:p>
    <w:p w14:paraId="328E3B8A"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4.高血压蛋白尿＞+；</w:t>
      </w:r>
    </w:p>
    <w:p w14:paraId="158EEB49"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5.糖尿病肾病II期以内；</w:t>
      </w:r>
    </w:p>
    <w:p w14:paraId="26E5144E"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6.捐献肾脏热缺血时间15～30分钟、冷缺血时间24小时以上。</w:t>
      </w:r>
    </w:p>
    <w:p w14:paraId="3D48C46F" w14:textId="77777777" w:rsidR="00BD4F21" w:rsidRDefault="00BD4F21" w:rsidP="00BD4F21">
      <w:pPr>
        <w:adjustRightInd w:val="0"/>
        <w:snapToGrid w:val="0"/>
        <w:spacing w:line="360" w:lineRule="auto"/>
        <w:ind w:firstLineChars="200" w:firstLine="643"/>
        <w:rPr>
          <w:rFonts w:ascii="仿宋_GB2312" w:cs="仿宋_GB2312"/>
          <w:szCs w:val="32"/>
        </w:rPr>
      </w:pPr>
      <w:r>
        <w:rPr>
          <w:rFonts w:ascii="楷体_GB2312" w:eastAsia="楷体_GB2312" w:hAnsi="楷体_GB2312" w:cs="楷体_GB2312" w:hint="eastAsia"/>
          <w:b/>
          <w:bCs/>
          <w:szCs w:val="32"/>
        </w:rPr>
        <w:t>（三）</w:t>
      </w:r>
      <w:proofErr w:type="gramStart"/>
      <w:r>
        <w:rPr>
          <w:rFonts w:ascii="楷体_GB2312" w:eastAsia="楷体_GB2312" w:hAnsi="楷体_GB2312" w:cs="楷体_GB2312" w:hint="eastAsia"/>
          <w:b/>
          <w:bCs/>
          <w:szCs w:val="32"/>
        </w:rPr>
        <w:t>边缘供心标准</w:t>
      </w:r>
      <w:proofErr w:type="gramEnd"/>
      <w:r>
        <w:rPr>
          <w:rFonts w:ascii="楷体_GB2312" w:eastAsia="楷体_GB2312" w:hAnsi="楷体_GB2312" w:cs="楷体_GB2312" w:hint="eastAsia"/>
          <w:b/>
          <w:bCs/>
          <w:szCs w:val="32"/>
        </w:rPr>
        <w:t>。</w:t>
      </w:r>
      <w:r>
        <w:rPr>
          <w:rFonts w:ascii="仿宋_GB2312" w:cs="仿宋_GB2312" w:hint="eastAsia"/>
          <w:szCs w:val="32"/>
        </w:rPr>
        <w:t>具有下列特征之一的属于边缘供心：</w:t>
      </w:r>
    </w:p>
    <w:p w14:paraId="2BA4B6D5"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1.捐献者年龄大≥50岁；</w:t>
      </w:r>
    </w:p>
    <w:p w14:paraId="6906E16B"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lastRenderedPageBreak/>
        <w:t>2.捐献心脏冷缺血时间＞6小时；</w:t>
      </w:r>
    </w:p>
    <w:p w14:paraId="4802B01F"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3.器官捐献者与接受者体重比值＜0.8；</w:t>
      </w:r>
    </w:p>
    <w:p w14:paraId="2A2B5E78"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4.器官捐献者与接受者血型相容但不一致；</w:t>
      </w:r>
    </w:p>
    <w:p w14:paraId="5CD3E6D3"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5.捐献者存在感染，但已经控制，血培养结果均为阴性，心脏直视检查无感染性心内膜炎；</w:t>
      </w:r>
    </w:p>
    <w:p w14:paraId="484B268F"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6.捐献心脏结构轻度异常，如左室壁轻度肥厚（＜14mm）、轻度瓣膜反流、易于矫治的先天性心脏病如卵圆孔未闭、冠脉动脉粥样硬化但无明显狭窄等；</w:t>
      </w:r>
    </w:p>
    <w:p w14:paraId="06132A19"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7.捐献心脏功能异常：经充分调整，左心室射血分数＜60％但＞40%，存在室壁运动异常等；</w:t>
      </w:r>
    </w:p>
    <w:p w14:paraId="2842B502"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8.其他可能导致移植物衰竭的因素：心肌酶异常升高、捐献者正性肌力药物剂量大、心肺复苏时间长等。</w:t>
      </w:r>
    </w:p>
    <w:p w14:paraId="2226E2D9" w14:textId="77777777" w:rsidR="00BD4F21" w:rsidRDefault="00BD4F21" w:rsidP="00BD4F21">
      <w:pPr>
        <w:adjustRightInd w:val="0"/>
        <w:snapToGrid w:val="0"/>
        <w:spacing w:line="360" w:lineRule="auto"/>
        <w:ind w:firstLineChars="200" w:firstLine="643"/>
        <w:rPr>
          <w:rFonts w:ascii="仿宋_GB2312" w:cs="仿宋_GB2312"/>
          <w:szCs w:val="32"/>
        </w:rPr>
      </w:pPr>
      <w:r>
        <w:rPr>
          <w:rFonts w:ascii="楷体_GB2312" w:eastAsia="楷体_GB2312" w:hAnsi="楷体_GB2312" w:cs="楷体_GB2312" w:hint="eastAsia"/>
          <w:b/>
          <w:bCs/>
          <w:szCs w:val="32"/>
        </w:rPr>
        <w:t>（四）边缘供肺标准。</w:t>
      </w:r>
      <w:r>
        <w:rPr>
          <w:rFonts w:ascii="仿宋_GB2312" w:cs="仿宋_GB2312" w:hint="eastAsia"/>
          <w:szCs w:val="32"/>
        </w:rPr>
        <w:t>具有下列特征之一的属于边缘供肺：</w:t>
      </w:r>
    </w:p>
    <w:p w14:paraId="48D95F7F"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1.ABO血型不同但相容；</w:t>
      </w:r>
    </w:p>
    <w:p w14:paraId="56315B9C"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2.60岁＜年龄＜70岁；</w:t>
      </w:r>
    </w:p>
    <w:p w14:paraId="3E944CA9"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3.250mmHg＜PaO</w:t>
      </w:r>
      <w:r>
        <w:rPr>
          <w:rFonts w:ascii="仿宋_GB2312" w:cs="仿宋_GB2312" w:hint="eastAsia"/>
          <w:szCs w:val="32"/>
          <w:vertAlign w:val="subscript"/>
        </w:rPr>
        <w:t>2</w:t>
      </w:r>
      <w:r>
        <w:rPr>
          <w:rFonts w:ascii="仿宋_GB2312" w:cs="仿宋_GB2312" w:hint="eastAsia"/>
          <w:szCs w:val="32"/>
        </w:rPr>
        <w:t>＜300mmHg (FiO</w:t>
      </w:r>
      <w:r>
        <w:rPr>
          <w:rFonts w:ascii="仿宋_GB2312" w:cs="仿宋_GB2312" w:hint="eastAsia"/>
          <w:szCs w:val="32"/>
          <w:vertAlign w:val="subscript"/>
        </w:rPr>
        <w:t>2</w:t>
      </w:r>
      <w:r>
        <w:rPr>
          <w:rFonts w:ascii="仿宋_GB2312" w:cs="仿宋_GB2312" w:hint="eastAsia"/>
          <w:szCs w:val="32"/>
        </w:rPr>
        <w:t>＝1.0, PEEP＝5cmH</w:t>
      </w:r>
      <w:r>
        <w:rPr>
          <w:rFonts w:ascii="仿宋_GB2312" w:cs="仿宋_GB2312" w:hint="eastAsia"/>
          <w:szCs w:val="32"/>
          <w:vertAlign w:val="subscript"/>
        </w:rPr>
        <w:t>2</w:t>
      </w:r>
      <w:r>
        <w:rPr>
          <w:rFonts w:ascii="仿宋_GB2312" w:cs="仿宋_GB2312" w:hint="eastAsia"/>
          <w:szCs w:val="32"/>
        </w:rPr>
        <w:t>O)；</w:t>
      </w:r>
    </w:p>
    <w:p w14:paraId="5A4DB2D4"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4.胸片肺野内有少量到中等量的渗出影；</w:t>
      </w:r>
    </w:p>
    <w:p w14:paraId="71D25B22"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5.器官捐献者与接受者匹配度较差但可以根据具体情况进行</w:t>
      </w:r>
      <w:proofErr w:type="gramStart"/>
      <w:r>
        <w:rPr>
          <w:rFonts w:ascii="仿宋_GB2312" w:cs="仿宋_GB2312" w:hint="eastAsia"/>
          <w:szCs w:val="32"/>
        </w:rPr>
        <w:t>供肺减容或</w:t>
      </w:r>
      <w:proofErr w:type="gramEnd"/>
      <w:r>
        <w:rPr>
          <w:rFonts w:ascii="仿宋_GB2312" w:cs="仿宋_GB2312" w:hint="eastAsia"/>
          <w:szCs w:val="32"/>
        </w:rPr>
        <w:t>肺叶移植；</w:t>
      </w:r>
    </w:p>
    <w:p w14:paraId="2DFF2BAD"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6.胸部外伤但肺氧合满意；</w:t>
      </w:r>
    </w:p>
    <w:p w14:paraId="313B5D4C"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lastRenderedPageBreak/>
        <w:t>7.存在轻微的误吸或者</w:t>
      </w:r>
      <w:proofErr w:type="gramStart"/>
      <w:r>
        <w:rPr>
          <w:rFonts w:ascii="仿宋_GB2312" w:cs="仿宋_GB2312" w:hint="eastAsia"/>
          <w:szCs w:val="32"/>
        </w:rPr>
        <w:t>脓毒症经治疗</w:t>
      </w:r>
      <w:proofErr w:type="gramEnd"/>
      <w:r>
        <w:rPr>
          <w:rFonts w:ascii="仿宋_GB2312" w:cs="仿宋_GB2312" w:hint="eastAsia"/>
          <w:szCs w:val="32"/>
        </w:rPr>
        <w:t>维护后改善；</w:t>
      </w:r>
    </w:p>
    <w:p w14:paraId="4D76F118"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8.气道内存在脓性分泌物经治疗维护后改善；</w:t>
      </w:r>
    </w:p>
    <w:p w14:paraId="670C004E"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9.有痰标本细菌培养阳性，但排除泛耐药或者全耐药的细菌；</w:t>
      </w:r>
    </w:p>
    <w:p w14:paraId="5274A154"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10.多次维护评估后不合格的捐献肺脏获取后经离体肺灌注修复后达标；</w:t>
      </w:r>
    </w:p>
    <w:p w14:paraId="5F5DEA0E" w14:textId="77777777" w:rsidR="00BD4F21" w:rsidRDefault="00BD4F21" w:rsidP="00BD4F21">
      <w:pPr>
        <w:adjustRightInd w:val="0"/>
        <w:snapToGrid w:val="0"/>
        <w:spacing w:line="360" w:lineRule="auto"/>
        <w:ind w:firstLineChars="200" w:firstLine="640"/>
        <w:rPr>
          <w:rFonts w:ascii="仿宋_GB2312" w:cs="仿宋_GB2312"/>
          <w:szCs w:val="32"/>
        </w:rPr>
      </w:pPr>
      <w:r>
        <w:rPr>
          <w:rFonts w:ascii="仿宋_GB2312" w:cs="仿宋_GB2312" w:hint="eastAsia"/>
          <w:szCs w:val="32"/>
        </w:rPr>
        <w:t>11.捐献肺脏冷缺血时间＞9小时，原则上不超过12小时。</w:t>
      </w:r>
    </w:p>
    <w:p w14:paraId="6B013113" w14:textId="77777777" w:rsidR="001C1B23" w:rsidRPr="00BD4F21" w:rsidRDefault="001C1B23"/>
    <w:sectPr w:rsidR="001C1B23" w:rsidRPr="00BD4F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D1492" w14:textId="77777777" w:rsidR="008E02B1" w:rsidRDefault="008E02B1" w:rsidP="00BD4F21">
      <w:r>
        <w:separator/>
      </w:r>
    </w:p>
  </w:endnote>
  <w:endnote w:type="continuationSeparator" w:id="0">
    <w:p w14:paraId="72B12AAE" w14:textId="77777777" w:rsidR="008E02B1" w:rsidRDefault="008E02B1" w:rsidP="00BD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FangSong"/>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KaiTi"/>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D538E" w14:textId="77777777" w:rsidR="008E02B1" w:rsidRDefault="008E02B1" w:rsidP="00BD4F21">
      <w:r>
        <w:separator/>
      </w:r>
    </w:p>
  </w:footnote>
  <w:footnote w:type="continuationSeparator" w:id="0">
    <w:p w14:paraId="60ABD0E3" w14:textId="77777777" w:rsidR="008E02B1" w:rsidRDefault="008E02B1" w:rsidP="00BD4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50"/>
    <w:rsid w:val="001C1B23"/>
    <w:rsid w:val="0042376E"/>
    <w:rsid w:val="008E02B1"/>
    <w:rsid w:val="00BD4F21"/>
    <w:rsid w:val="00C4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E9136C"/>
  <w15:chartTrackingRefBased/>
  <w15:docId w15:val="{878DEAB3-19B2-40FF-B143-09404F5B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4F21"/>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F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D4F21"/>
    <w:rPr>
      <w:sz w:val="18"/>
      <w:szCs w:val="18"/>
    </w:rPr>
  </w:style>
  <w:style w:type="paragraph" w:styleId="a5">
    <w:name w:val="footer"/>
    <w:basedOn w:val="a"/>
    <w:link w:val="a6"/>
    <w:uiPriority w:val="99"/>
    <w:unhideWhenUsed/>
    <w:rsid w:val="00BD4F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D4F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2</cp:revision>
  <dcterms:created xsi:type="dcterms:W3CDTF">2019-03-14T09:19:00Z</dcterms:created>
  <dcterms:modified xsi:type="dcterms:W3CDTF">2019-03-14T09:21:00Z</dcterms:modified>
</cp:coreProperties>
</file>