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ascii="仿宋_GB2312" w:hAnsi="仿宋_GB2312" w:eastAsia="仿宋_GB2312" w:cs="仿宋_GB2312"/>
          <w:spacing w:val="-20"/>
          <w:sz w:val="32"/>
          <w:szCs w:val="32"/>
          <w:lang w:eastAsia="zh-CN"/>
        </w:rPr>
      </w:pPr>
      <w:r>
        <w:rPr>
          <w:rFonts w:hint="eastAsia" w:ascii="仿宋_GB2312" w:hAnsi="仿宋_GB2312" w:eastAsia="仿宋_GB2312" w:cs="仿宋_GB2312"/>
          <w:spacing w:val="-20"/>
          <w:sz w:val="32"/>
          <w:szCs w:val="32"/>
          <w:lang w:eastAsia="zh-CN"/>
        </w:rPr>
        <w:t>附件一：采购需求</w:t>
      </w:r>
    </w:p>
    <w:p>
      <w:pPr>
        <w:ind w:firstLine="560" w:firstLineChars="200"/>
        <w:rPr>
          <w:rFonts w:hint="default" w:ascii="仿宋_GB2312" w:hAnsi="仿宋_GB2312" w:eastAsia="仿宋_GB2312" w:cs="仿宋_GB2312"/>
          <w:spacing w:val="-20"/>
          <w:sz w:val="32"/>
          <w:szCs w:val="32"/>
          <w:lang w:val="en-US" w:eastAsia="zh-CN"/>
        </w:rPr>
      </w:pPr>
      <w:bookmarkStart w:id="0" w:name="_GoBack"/>
      <w:bookmarkEnd w:id="0"/>
      <w:r>
        <w:rPr>
          <w:rFonts w:hint="eastAsia" w:ascii="仿宋_GB2312" w:hAnsi="仿宋_GB2312" w:eastAsia="仿宋_GB2312" w:cs="仿宋_GB2312"/>
          <w:spacing w:val="-20"/>
          <w:sz w:val="32"/>
          <w:szCs w:val="32"/>
        </w:rPr>
        <w:t>一、</w:t>
      </w:r>
      <w:r>
        <w:rPr>
          <w:rFonts w:hint="eastAsia" w:ascii="仿宋_GB2312" w:hAnsi="仿宋_GB2312" w:eastAsia="仿宋_GB2312" w:cs="仿宋_GB2312"/>
          <w:spacing w:val="-20"/>
          <w:sz w:val="32"/>
          <w:szCs w:val="32"/>
          <w:lang w:val="en-US" w:eastAsia="zh-CN"/>
        </w:rPr>
        <w:t>第1包大型客车包车服务</w:t>
      </w:r>
    </w:p>
    <w:p>
      <w:pPr>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大型客车</w:t>
      </w:r>
      <w:r>
        <w:rPr>
          <w:rFonts w:hint="eastAsia" w:ascii="仿宋_GB2312" w:hAnsi="仿宋_GB2312" w:eastAsia="仿宋_GB2312" w:cs="仿宋_GB2312"/>
          <w:spacing w:val="-20"/>
          <w:sz w:val="32"/>
          <w:szCs w:val="32"/>
          <w:lang w:val="en-US" w:eastAsia="zh-CN"/>
        </w:rPr>
        <w:t>包车</w:t>
      </w:r>
      <w:r>
        <w:rPr>
          <w:rFonts w:hint="eastAsia" w:ascii="仿宋_GB2312" w:hAnsi="仿宋_GB2312" w:eastAsia="仿宋_GB2312" w:cs="仿宋_GB2312"/>
          <w:spacing w:val="-20"/>
          <w:sz w:val="32"/>
          <w:szCs w:val="32"/>
        </w:rPr>
        <w:t>服务控制价格如下：</w:t>
      </w:r>
    </w:p>
    <w:tbl>
      <w:tblPr>
        <w:tblStyle w:val="8"/>
        <w:tblW w:w="933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59"/>
        <w:gridCol w:w="2977"/>
        <w:gridCol w:w="4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765" w:type="dxa"/>
            <w:vAlign w:val="center"/>
          </w:tcPr>
          <w:p>
            <w:pPr>
              <w:spacing w:line="400" w:lineRule="exact"/>
              <w:jc w:val="center"/>
              <w:rPr>
                <w:rFonts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序号</w:t>
            </w:r>
          </w:p>
        </w:tc>
        <w:tc>
          <w:tcPr>
            <w:tcW w:w="1559" w:type="dxa"/>
            <w:vAlign w:val="center"/>
          </w:tcPr>
          <w:p>
            <w:pPr>
              <w:spacing w:line="400" w:lineRule="exact"/>
              <w:jc w:val="center"/>
              <w:rPr>
                <w:rFonts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车型</w:t>
            </w:r>
          </w:p>
        </w:tc>
        <w:tc>
          <w:tcPr>
            <w:tcW w:w="2977" w:type="dxa"/>
            <w:vAlign w:val="center"/>
          </w:tcPr>
          <w:p>
            <w:pPr>
              <w:spacing w:line="400" w:lineRule="exact"/>
              <w:jc w:val="center"/>
              <w:rPr>
                <w:rFonts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全天基本包车费（天/元）</w:t>
            </w:r>
          </w:p>
        </w:tc>
        <w:tc>
          <w:tcPr>
            <w:tcW w:w="4029" w:type="dxa"/>
            <w:vAlign w:val="center"/>
          </w:tcPr>
          <w:p>
            <w:pPr>
              <w:spacing w:line="400" w:lineRule="exact"/>
              <w:jc w:val="center"/>
              <w:rPr>
                <w:rFonts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765" w:type="dxa"/>
            <w:vAlign w:val="center"/>
          </w:tcPr>
          <w:p>
            <w:pPr>
              <w:jc w:val="center"/>
              <w:rPr>
                <w:rFonts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1</w:t>
            </w:r>
          </w:p>
        </w:tc>
        <w:tc>
          <w:tcPr>
            <w:tcW w:w="1559" w:type="dxa"/>
            <w:vAlign w:val="center"/>
          </w:tcPr>
          <w:p>
            <w:pPr>
              <w:jc w:val="center"/>
              <w:rPr>
                <w:rFonts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17座</w:t>
            </w:r>
          </w:p>
        </w:tc>
        <w:tc>
          <w:tcPr>
            <w:tcW w:w="2977" w:type="dxa"/>
            <w:vAlign w:val="center"/>
          </w:tcPr>
          <w:p>
            <w:pPr>
              <w:jc w:val="center"/>
              <w:rPr>
                <w:rFonts w:hint="default" w:ascii="仿宋_GB2312" w:hAnsi="仿宋_GB2312" w:eastAsia="仿宋_GB2312" w:cs="仿宋_GB2312"/>
                <w:spacing w:val="-20"/>
                <w:sz w:val="30"/>
                <w:szCs w:val="30"/>
                <w:lang w:val="en-US" w:eastAsia="zh-CN"/>
              </w:rPr>
            </w:pPr>
            <w:r>
              <w:rPr>
                <w:rFonts w:hint="eastAsia" w:ascii="仿宋_GB2312" w:hAnsi="仿宋_GB2312" w:eastAsia="仿宋_GB2312" w:cs="仿宋_GB2312"/>
                <w:spacing w:val="-20"/>
                <w:sz w:val="30"/>
                <w:szCs w:val="30"/>
                <w:lang w:val="en-US" w:eastAsia="zh-CN"/>
              </w:rPr>
              <w:t>1000</w:t>
            </w:r>
          </w:p>
        </w:tc>
        <w:tc>
          <w:tcPr>
            <w:tcW w:w="4029" w:type="dxa"/>
            <w:vAlign w:val="center"/>
          </w:tcPr>
          <w:p>
            <w:pPr>
              <w:jc w:val="center"/>
              <w:rPr>
                <w:rFonts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医院常用车型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Align w:val="center"/>
          </w:tcPr>
          <w:p>
            <w:pPr>
              <w:jc w:val="center"/>
              <w:rPr>
                <w:rFonts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2</w:t>
            </w:r>
          </w:p>
        </w:tc>
        <w:tc>
          <w:tcPr>
            <w:tcW w:w="1559" w:type="dxa"/>
            <w:vAlign w:val="center"/>
          </w:tcPr>
          <w:p>
            <w:pPr>
              <w:jc w:val="center"/>
              <w:rPr>
                <w:rFonts w:hint="default" w:ascii="仿宋_GB2312" w:hAnsi="仿宋_GB2312" w:eastAsia="仿宋_GB2312" w:cs="仿宋_GB2312"/>
                <w:spacing w:val="-20"/>
                <w:sz w:val="30"/>
                <w:szCs w:val="30"/>
                <w:lang w:val="en-US" w:eastAsia="zh-CN"/>
              </w:rPr>
            </w:pPr>
            <w:r>
              <w:rPr>
                <w:rFonts w:hint="eastAsia" w:ascii="仿宋_GB2312" w:hAnsi="仿宋_GB2312" w:eastAsia="仿宋_GB2312" w:cs="仿宋_GB2312"/>
                <w:spacing w:val="-20"/>
                <w:sz w:val="30"/>
                <w:szCs w:val="30"/>
              </w:rPr>
              <w:t>19座</w:t>
            </w:r>
            <w:r>
              <w:rPr>
                <w:rFonts w:hint="eastAsia" w:ascii="仿宋_GB2312" w:hAnsi="仿宋_GB2312" w:eastAsia="仿宋_GB2312" w:cs="仿宋_GB2312"/>
                <w:spacing w:val="-20"/>
                <w:sz w:val="30"/>
                <w:szCs w:val="30"/>
                <w:lang w:val="en-US" w:eastAsia="zh-CN"/>
              </w:rPr>
              <w:t>-35座</w:t>
            </w:r>
          </w:p>
        </w:tc>
        <w:tc>
          <w:tcPr>
            <w:tcW w:w="2977" w:type="dxa"/>
            <w:vAlign w:val="center"/>
          </w:tcPr>
          <w:p>
            <w:pPr>
              <w:jc w:val="center"/>
              <w:rPr>
                <w:rFonts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1</w:t>
            </w:r>
            <w:r>
              <w:rPr>
                <w:rFonts w:hint="eastAsia" w:ascii="仿宋_GB2312" w:hAnsi="仿宋_GB2312" w:eastAsia="仿宋_GB2312" w:cs="仿宋_GB2312"/>
                <w:spacing w:val="-20"/>
                <w:sz w:val="30"/>
                <w:szCs w:val="30"/>
                <w:lang w:val="en-US" w:eastAsia="zh-CN"/>
              </w:rPr>
              <w:t>2</w:t>
            </w:r>
            <w:r>
              <w:rPr>
                <w:rFonts w:hint="eastAsia" w:ascii="仿宋_GB2312" w:hAnsi="仿宋_GB2312" w:eastAsia="仿宋_GB2312" w:cs="仿宋_GB2312"/>
                <w:spacing w:val="-20"/>
                <w:sz w:val="30"/>
                <w:szCs w:val="30"/>
              </w:rPr>
              <w:t>00</w:t>
            </w:r>
          </w:p>
        </w:tc>
        <w:tc>
          <w:tcPr>
            <w:tcW w:w="4029" w:type="dxa"/>
            <w:vAlign w:val="center"/>
          </w:tcPr>
          <w:p>
            <w:pPr>
              <w:jc w:val="center"/>
              <w:rPr>
                <w:rFonts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偶尔使用车型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Align w:val="center"/>
          </w:tcPr>
          <w:p>
            <w:pPr>
              <w:jc w:val="center"/>
              <w:rPr>
                <w:rFonts w:hint="eastAsia" w:ascii="仿宋_GB2312" w:hAnsi="仿宋_GB2312" w:eastAsia="仿宋_GB2312" w:cs="仿宋_GB2312"/>
                <w:spacing w:val="-20"/>
                <w:sz w:val="30"/>
                <w:szCs w:val="30"/>
                <w:lang w:eastAsia="zh-CN"/>
              </w:rPr>
            </w:pPr>
            <w:r>
              <w:rPr>
                <w:rFonts w:hint="eastAsia" w:ascii="仿宋_GB2312" w:hAnsi="仿宋_GB2312" w:eastAsia="仿宋_GB2312" w:cs="仿宋_GB2312"/>
                <w:spacing w:val="-20"/>
                <w:sz w:val="30"/>
                <w:szCs w:val="30"/>
                <w:lang w:val="en-US" w:eastAsia="zh-CN"/>
              </w:rPr>
              <w:t>3</w:t>
            </w:r>
          </w:p>
        </w:tc>
        <w:tc>
          <w:tcPr>
            <w:tcW w:w="1559" w:type="dxa"/>
            <w:vAlign w:val="center"/>
          </w:tcPr>
          <w:p>
            <w:pPr>
              <w:jc w:val="center"/>
              <w:rPr>
                <w:rFonts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39座</w:t>
            </w:r>
          </w:p>
        </w:tc>
        <w:tc>
          <w:tcPr>
            <w:tcW w:w="2977" w:type="dxa"/>
            <w:vAlign w:val="center"/>
          </w:tcPr>
          <w:p>
            <w:pPr>
              <w:jc w:val="center"/>
              <w:rPr>
                <w:rFonts w:hint="default" w:ascii="仿宋_GB2312" w:hAnsi="仿宋_GB2312" w:eastAsia="仿宋_GB2312" w:cs="仿宋_GB2312"/>
                <w:spacing w:val="-20"/>
                <w:sz w:val="30"/>
                <w:szCs w:val="30"/>
                <w:lang w:val="en-US" w:eastAsia="zh-CN"/>
              </w:rPr>
            </w:pPr>
            <w:r>
              <w:rPr>
                <w:rFonts w:hint="eastAsia" w:ascii="仿宋_GB2312" w:hAnsi="仿宋_GB2312" w:eastAsia="仿宋_GB2312" w:cs="仿宋_GB2312"/>
                <w:spacing w:val="-20"/>
                <w:sz w:val="30"/>
                <w:szCs w:val="30"/>
                <w:lang w:val="en-US" w:eastAsia="zh-CN"/>
              </w:rPr>
              <w:t>1500</w:t>
            </w:r>
          </w:p>
        </w:tc>
        <w:tc>
          <w:tcPr>
            <w:tcW w:w="4029" w:type="dxa"/>
            <w:vAlign w:val="center"/>
          </w:tcPr>
          <w:p>
            <w:pPr>
              <w:spacing w:line="400" w:lineRule="exact"/>
              <w:jc w:val="center"/>
              <w:rPr>
                <w:rFonts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医院常用车型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Align w:val="center"/>
          </w:tcPr>
          <w:p>
            <w:pPr>
              <w:jc w:val="center"/>
              <w:rPr>
                <w:rFonts w:hint="eastAsia" w:ascii="仿宋_GB2312" w:hAnsi="仿宋_GB2312" w:eastAsia="仿宋_GB2312" w:cs="仿宋_GB2312"/>
                <w:spacing w:val="-20"/>
                <w:sz w:val="30"/>
                <w:szCs w:val="30"/>
                <w:lang w:eastAsia="zh-CN"/>
              </w:rPr>
            </w:pPr>
            <w:r>
              <w:rPr>
                <w:rFonts w:hint="eastAsia" w:ascii="仿宋_GB2312" w:hAnsi="仿宋_GB2312" w:eastAsia="仿宋_GB2312" w:cs="仿宋_GB2312"/>
                <w:spacing w:val="-20"/>
                <w:sz w:val="30"/>
                <w:szCs w:val="30"/>
                <w:lang w:val="en-US" w:eastAsia="zh-CN"/>
              </w:rPr>
              <w:t>4</w:t>
            </w:r>
          </w:p>
        </w:tc>
        <w:tc>
          <w:tcPr>
            <w:tcW w:w="1559" w:type="dxa"/>
            <w:vAlign w:val="center"/>
          </w:tcPr>
          <w:p>
            <w:pPr>
              <w:jc w:val="center"/>
              <w:rPr>
                <w:rFonts w:hint="default" w:ascii="仿宋_GB2312" w:hAnsi="仿宋_GB2312" w:eastAsia="仿宋_GB2312" w:cs="仿宋_GB2312"/>
                <w:spacing w:val="-20"/>
                <w:sz w:val="30"/>
                <w:szCs w:val="30"/>
                <w:lang w:val="en-US" w:eastAsia="zh-CN"/>
              </w:rPr>
            </w:pPr>
            <w:r>
              <w:rPr>
                <w:rFonts w:hint="eastAsia" w:ascii="仿宋_GB2312" w:hAnsi="仿宋_GB2312" w:eastAsia="仿宋_GB2312" w:cs="仿宋_GB2312"/>
                <w:spacing w:val="-20"/>
                <w:sz w:val="30"/>
                <w:szCs w:val="30"/>
              </w:rPr>
              <w:t>45座</w:t>
            </w:r>
            <w:r>
              <w:rPr>
                <w:rFonts w:hint="eastAsia" w:ascii="仿宋_GB2312" w:hAnsi="仿宋_GB2312" w:eastAsia="仿宋_GB2312" w:cs="仿宋_GB2312"/>
                <w:spacing w:val="-20"/>
                <w:sz w:val="30"/>
                <w:szCs w:val="30"/>
                <w:lang w:val="en-US" w:eastAsia="zh-CN"/>
              </w:rPr>
              <w:t>以上</w:t>
            </w:r>
          </w:p>
        </w:tc>
        <w:tc>
          <w:tcPr>
            <w:tcW w:w="2977" w:type="dxa"/>
            <w:vAlign w:val="center"/>
          </w:tcPr>
          <w:p>
            <w:pPr>
              <w:jc w:val="center"/>
              <w:rPr>
                <w:rFonts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1700</w:t>
            </w:r>
          </w:p>
        </w:tc>
        <w:tc>
          <w:tcPr>
            <w:tcW w:w="4029" w:type="dxa"/>
            <w:vAlign w:val="center"/>
          </w:tcPr>
          <w:p>
            <w:pPr>
              <w:jc w:val="center"/>
              <w:rPr>
                <w:rFonts w:ascii="仿宋_GB2312" w:hAnsi="仿宋_GB2312" w:eastAsia="仿宋_GB2312" w:cs="仿宋_GB2312"/>
                <w:spacing w:val="-20"/>
                <w:sz w:val="30"/>
                <w:szCs w:val="30"/>
              </w:rPr>
            </w:pPr>
          </w:p>
        </w:tc>
      </w:tr>
    </w:tbl>
    <w:p>
      <w:pPr>
        <w:pStyle w:val="3"/>
        <w:rPr>
          <w:rFonts w:hint="eastAsia"/>
          <w:lang w:val="en-US" w:eastAsia="zh-CN"/>
        </w:rPr>
      </w:pPr>
    </w:p>
    <w:p>
      <w:pPr>
        <w:pStyle w:val="3"/>
        <w:rPr>
          <w:rFonts w:hint="eastAsia" w:eastAsia="宋体"/>
          <w:sz w:val="24"/>
          <w:szCs w:val="24"/>
          <w:lang w:val="en-US" w:eastAsia="zh-CN"/>
        </w:rPr>
      </w:pPr>
      <w:r>
        <w:rPr>
          <w:rFonts w:hint="eastAsia"/>
          <w:sz w:val="24"/>
          <w:szCs w:val="24"/>
          <w:lang w:val="en-US" w:eastAsia="zh-CN"/>
        </w:rPr>
        <w:t>备注：宜宾市内全天基本包车费包含驾驶员劳务费用、过路费、泊车费，驾驶员餐费、住宿费。</w:t>
      </w:r>
    </w:p>
    <w:p>
      <w:pPr>
        <w:ind w:firstLine="560" w:firstLineChars="200"/>
        <w:rPr>
          <w:rFonts w:hint="eastAsia" w:ascii="仿宋_GB2312" w:hAnsi="仿宋_GB2312" w:eastAsia="仿宋_GB2312" w:cs="仿宋_GB2312"/>
          <w:spacing w:val="-20"/>
          <w:sz w:val="32"/>
          <w:szCs w:val="32"/>
        </w:rPr>
      </w:pPr>
    </w:p>
    <w:p>
      <w:pPr>
        <w:ind w:firstLine="560" w:firstLineChars="200"/>
        <w:rPr>
          <w:rFonts w:hint="default"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rPr>
        <w:t>二、</w:t>
      </w:r>
      <w:r>
        <w:rPr>
          <w:rFonts w:hint="eastAsia" w:ascii="仿宋_GB2312" w:hAnsi="仿宋_GB2312" w:eastAsia="仿宋_GB2312" w:cs="仿宋_GB2312"/>
          <w:spacing w:val="-20"/>
          <w:sz w:val="32"/>
          <w:szCs w:val="32"/>
          <w:lang w:val="en-US" w:eastAsia="zh-CN"/>
        </w:rPr>
        <w:t>第2包</w:t>
      </w:r>
      <w:r>
        <w:rPr>
          <w:rFonts w:hint="eastAsia" w:ascii="仿宋_GB2312" w:hAnsi="仿宋_GB2312" w:eastAsia="仿宋_GB2312" w:cs="仿宋_GB2312"/>
          <w:spacing w:val="-20"/>
          <w:sz w:val="32"/>
          <w:szCs w:val="32"/>
        </w:rPr>
        <w:t>小型汽车</w:t>
      </w:r>
      <w:r>
        <w:rPr>
          <w:rFonts w:hint="eastAsia" w:ascii="仿宋_GB2312" w:hAnsi="仿宋_GB2312" w:eastAsia="仿宋_GB2312" w:cs="仿宋_GB2312"/>
          <w:spacing w:val="-20"/>
          <w:sz w:val="32"/>
          <w:szCs w:val="32"/>
          <w:lang w:val="en-US" w:eastAsia="zh-CN"/>
        </w:rPr>
        <w:t>包车（租赁）</w:t>
      </w:r>
      <w:r>
        <w:rPr>
          <w:rFonts w:hint="eastAsia" w:ascii="仿宋_GB2312" w:hAnsi="仿宋_GB2312" w:eastAsia="仿宋_GB2312" w:cs="仿宋_GB2312"/>
          <w:spacing w:val="-20"/>
          <w:sz w:val="32"/>
          <w:szCs w:val="32"/>
        </w:rPr>
        <w:t>服务</w:t>
      </w:r>
    </w:p>
    <w:p>
      <w:pPr>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小型汽车服务控制价格如下：</w:t>
      </w:r>
    </w:p>
    <w:tbl>
      <w:tblPr>
        <w:tblStyle w:val="7"/>
        <w:tblpPr w:leftFromText="180" w:rightFromText="180" w:vertAnchor="text" w:horzAnchor="page" w:tblpX="1311" w:tblpY="374"/>
        <w:tblOverlap w:val="never"/>
        <w:tblW w:w="9680" w:type="dxa"/>
        <w:tblInd w:w="0" w:type="dxa"/>
        <w:tblLayout w:type="fixed"/>
        <w:tblCellMar>
          <w:top w:w="15" w:type="dxa"/>
          <w:left w:w="15" w:type="dxa"/>
          <w:bottom w:w="15" w:type="dxa"/>
          <w:right w:w="15" w:type="dxa"/>
        </w:tblCellMar>
      </w:tblPr>
      <w:tblGrid>
        <w:gridCol w:w="405"/>
        <w:gridCol w:w="521"/>
        <w:gridCol w:w="912"/>
        <w:gridCol w:w="2738"/>
        <w:gridCol w:w="506"/>
        <w:gridCol w:w="4166"/>
        <w:gridCol w:w="432"/>
      </w:tblGrid>
      <w:tr>
        <w:tblPrEx>
          <w:tblLayout w:type="fixed"/>
          <w:tblCellMar>
            <w:top w:w="15" w:type="dxa"/>
            <w:left w:w="15" w:type="dxa"/>
            <w:bottom w:w="15" w:type="dxa"/>
            <w:right w:w="15" w:type="dxa"/>
          </w:tblCellMar>
        </w:tblPrEx>
        <w:trPr>
          <w:gridAfter w:val="1"/>
          <w:wAfter w:w="432" w:type="dxa"/>
          <w:trHeight w:val="68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序号</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用车类别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租赁时限</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车型</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价格（元）</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说明</w:t>
            </w:r>
          </w:p>
        </w:tc>
      </w:tr>
      <w:tr>
        <w:tblPrEx>
          <w:tblLayout w:type="fixed"/>
          <w:tblCellMar>
            <w:top w:w="15" w:type="dxa"/>
            <w:left w:w="15" w:type="dxa"/>
            <w:bottom w:w="15" w:type="dxa"/>
            <w:right w:w="15" w:type="dxa"/>
          </w:tblCellMar>
        </w:tblPrEx>
        <w:trPr>
          <w:gridAfter w:val="1"/>
          <w:wAfter w:w="432" w:type="dxa"/>
          <w:trHeight w:val="38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单租车</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全天（4小时以上）</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红旗H</w:t>
            </w:r>
            <w:r>
              <w:rPr>
                <w:rFonts w:ascii="宋体" w:hAnsi="宋体" w:eastAsia="宋体" w:cs="宋体"/>
                <w:color w:val="000000"/>
                <w:kern w:val="0"/>
                <w:sz w:val="18"/>
                <w:szCs w:val="18"/>
              </w:rPr>
              <w:t>5</w:t>
            </w:r>
            <w:r>
              <w:rPr>
                <w:rFonts w:hint="eastAsia" w:ascii="宋体" w:hAnsi="宋体" w:eastAsia="宋体" w:cs="宋体"/>
                <w:color w:val="000000"/>
                <w:kern w:val="0"/>
                <w:sz w:val="18"/>
                <w:szCs w:val="18"/>
              </w:rPr>
              <w:t>、帕萨特</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300</w:t>
            </w:r>
          </w:p>
        </w:tc>
        <w:tc>
          <w:tcPr>
            <w:tcW w:w="4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不含其他一切费用</w:t>
            </w:r>
          </w:p>
        </w:tc>
      </w:tr>
      <w:tr>
        <w:tblPrEx>
          <w:tblLayout w:type="fixed"/>
          <w:tblCellMar>
            <w:top w:w="15" w:type="dxa"/>
            <w:left w:w="15" w:type="dxa"/>
            <w:bottom w:w="15" w:type="dxa"/>
            <w:right w:w="15" w:type="dxa"/>
          </w:tblCellMar>
        </w:tblPrEx>
        <w:trPr>
          <w:gridAfter w:val="1"/>
          <w:wAfter w:w="432" w:type="dxa"/>
          <w:trHeight w:val="38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3</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rPr>
              <w:t>越野车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400</w:t>
            </w:r>
          </w:p>
        </w:tc>
        <w:tc>
          <w:tcPr>
            <w:tcW w:w="4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gridAfter w:val="1"/>
          <w:wAfter w:w="432" w:type="dxa"/>
          <w:trHeight w:val="38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4</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大通、福特途睿欧（24万以下）</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18"/>
                <w:szCs w:val="18"/>
              </w:rPr>
            </w:pPr>
            <w:r>
              <w:rPr>
                <w:rFonts w:hint="eastAsia"/>
                <w:sz w:val="18"/>
                <w:szCs w:val="18"/>
              </w:rPr>
              <w:t>400</w:t>
            </w:r>
          </w:p>
        </w:tc>
        <w:tc>
          <w:tcPr>
            <w:tcW w:w="4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gridAfter w:val="1"/>
          <w:wAfter w:w="432" w:type="dxa"/>
          <w:trHeight w:val="38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5</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别克</w:t>
            </w:r>
            <w:r>
              <w:rPr>
                <w:rFonts w:ascii="宋体" w:hAnsi="宋体" w:eastAsia="宋体" w:cs="宋体"/>
                <w:color w:val="000000"/>
                <w:kern w:val="0"/>
                <w:sz w:val="18"/>
                <w:szCs w:val="18"/>
              </w:rPr>
              <w:t>GL</w:t>
            </w:r>
            <w:r>
              <w:rPr>
                <w:rFonts w:hint="eastAsia" w:ascii="宋体" w:hAnsi="宋体" w:eastAsia="宋体" w:cs="宋体"/>
                <w:color w:val="000000"/>
                <w:kern w:val="0"/>
                <w:sz w:val="18"/>
                <w:szCs w:val="18"/>
              </w:rPr>
              <w:t>8、本田奥德赛（24万以上）</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18"/>
                <w:szCs w:val="18"/>
              </w:rPr>
            </w:pPr>
            <w:r>
              <w:rPr>
                <w:rFonts w:hint="eastAsia"/>
                <w:sz w:val="18"/>
                <w:szCs w:val="18"/>
              </w:rPr>
              <w:t>500</w:t>
            </w:r>
          </w:p>
        </w:tc>
        <w:tc>
          <w:tcPr>
            <w:tcW w:w="4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gridAfter w:val="1"/>
          <w:wAfter w:w="432" w:type="dxa"/>
          <w:trHeight w:val="38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6</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半天（4小时以内）</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速腾、迈腾、帕萨特</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180</w:t>
            </w:r>
          </w:p>
        </w:tc>
        <w:tc>
          <w:tcPr>
            <w:tcW w:w="4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不含其他一切费用</w:t>
            </w:r>
          </w:p>
        </w:tc>
      </w:tr>
      <w:tr>
        <w:tblPrEx>
          <w:tblLayout w:type="fixed"/>
          <w:tblCellMar>
            <w:top w:w="15" w:type="dxa"/>
            <w:left w:w="15" w:type="dxa"/>
            <w:bottom w:w="15" w:type="dxa"/>
            <w:right w:w="15" w:type="dxa"/>
          </w:tblCellMar>
        </w:tblPrEx>
        <w:trPr>
          <w:gridAfter w:val="1"/>
          <w:wAfter w:w="432" w:type="dxa"/>
          <w:trHeight w:val="38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8</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rPr>
              <w:t>越野车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260</w:t>
            </w:r>
          </w:p>
        </w:tc>
        <w:tc>
          <w:tcPr>
            <w:tcW w:w="4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gridAfter w:val="1"/>
          <w:wAfter w:w="432" w:type="dxa"/>
          <w:trHeight w:val="38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9</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大通、福特途睿欧（24万以下）</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260</w:t>
            </w:r>
          </w:p>
        </w:tc>
        <w:tc>
          <w:tcPr>
            <w:tcW w:w="4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gridAfter w:val="1"/>
          <w:wAfter w:w="432" w:type="dxa"/>
          <w:trHeight w:val="38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10</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别克</w:t>
            </w:r>
            <w:r>
              <w:rPr>
                <w:rFonts w:ascii="宋体" w:hAnsi="宋体" w:eastAsia="宋体" w:cs="宋体"/>
                <w:color w:val="000000"/>
                <w:kern w:val="0"/>
                <w:sz w:val="18"/>
                <w:szCs w:val="18"/>
              </w:rPr>
              <w:t>GL</w:t>
            </w:r>
            <w:r>
              <w:rPr>
                <w:rFonts w:hint="eastAsia" w:ascii="宋体" w:hAnsi="宋体" w:eastAsia="宋体" w:cs="宋体"/>
                <w:color w:val="000000"/>
                <w:kern w:val="0"/>
                <w:sz w:val="18"/>
                <w:szCs w:val="18"/>
              </w:rPr>
              <w:t>8、本田奥德赛（24万以上）</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350</w:t>
            </w:r>
          </w:p>
        </w:tc>
        <w:tc>
          <w:tcPr>
            <w:tcW w:w="4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gridAfter w:val="1"/>
          <w:wAfter w:w="432" w:type="dxa"/>
          <w:trHeight w:val="38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11</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人车并租</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全天（4</w:t>
            </w:r>
            <w:r>
              <w:rPr>
                <w:rFonts w:ascii="宋体" w:hAnsi="宋体" w:eastAsia="宋体" w:cs="宋体"/>
                <w:color w:val="000000"/>
                <w:kern w:val="0"/>
                <w:sz w:val="18"/>
                <w:szCs w:val="18"/>
              </w:rPr>
              <w:t>-9</w:t>
            </w:r>
            <w:r>
              <w:rPr>
                <w:rFonts w:hint="eastAsia" w:ascii="宋体" w:hAnsi="宋体" w:eastAsia="宋体" w:cs="宋体"/>
                <w:color w:val="000000"/>
                <w:kern w:val="0"/>
                <w:sz w:val="18"/>
                <w:szCs w:val="18"/>
              </w:rPr>
              <w:t>小时）</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auto"/>
              </w:rPr>
            </w:pPr>
            <w:r>
              <w:rPr>
                <w:rFonts w:hint="eastAsia" w:ascii="宋体" w:hAnsi="宋体" w:eastAsia="宋体" w:cs="宋体"/>
                <w:color w:val="auto"/>
                <w:kern w:val="0"/>
                <w:sz w:val="18"/>
                <w:szCs w:val="18"/>
              </w:rPr>
              <w:t>红旗H</w:t>
            </w:r>
            <w:r>
              <w:rPr>
                <w:rFonts w:ascii="宋体" w:hAnsi="宋体" w:eastAsia="宋体" w:cs="宋体"/>
                <w:color w:val="auto"/>
                <w:kern w:val="0"/>
                <w:sz w:val="18"/>
                <w:szCs w:val="18"/>
              </w:rPr>
              <w:t>5</w:t>
            </w:r>
            <w:r>
              <w:rPr>
                <w:rFonts w:hint="eastAsia" w:ascii="宋体" w:hAnsi="宋体" w:eastAsia="宋体" w:cs="宋体"/>
                <w:color w:val="auto"/>
                <w:kern w:val="0"/>
                <w:sz w:val="18"/>
                <w:szCs w:val="18"/>
              </w:rPr>
              <w:t>、帕萨特</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auto"/>
                <w:sz w:val="18"/>
                <w:szCs w:val="18"/>
              </w:rPr>
            </w:pPr>
            <w:r>
              <w:rPr>
                <w:rFonts w:hint="eastAsia"/>
                <w:color w:val="auto"/>
                <w:sz w:val="18"/>
                <w:szCs w:val="18"/>
              </w:rPr>
              <w:t>4</w:t>
            </w:r>
            <w:r>
              <w:rPr>
                <w:color w:val="auto"/>
                <w:sz w:val="18"/>
                <w:szCs w:val="18"/>
              </w:rPr>
              <w:t>2</w:t>
            </w:r>
            <w:r>
              <w:rPr>
                <w:rFonts w:hint="eastAsia"/>
                <w:color w:val="auto"/>
                <w:sz w:val="18"/>
                <w:szCs w:val="18"/>
              </w:rPr>
              <w:t>0</w:t>
            </w:r>
          </w:p>
        </w:tc>
        <w:tc>
          <w:tcPr>
            <w:tcW w:w="4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auto"/>
                <w:sz w:val="18"/>
                <w:szCs w:val="18"/>
              </w:rPr>
            </w:pPr>
            <w:r>
              <w:rPr>
                <w:rFonts w:hint="eastAsia"/>
                <w:color w:val="auto"/>
                <w:sz w:val="18"/>
                <w:szCs w:val="18"/>
              </w:rPr>
              <w:t>轿车1元/</w:t>
            </w:r>
            <w:r>
              <w:rPr>
                <w:color w:val="auto"/>
                <w:sz w:val="18"/>
                <w:szCs w:val="18"/>
              </w:rPr>
              <w:t>KM</w:t>
            </w:r>
            <w:r>
              <w:rPr>
                <w:rFonts w:hint="eastAsia"/>
                <w:color w:val="auto"/>
                <w:sz w:val="18"/>
                <w:szCs w:val="18"/>
              </w:rPr>
              <w:t>，越野车及商务车1.5元/</w:t>
            </w:r>
            <w:r>
              <w:rPr>
                <w:color w:val="auto"/>
                <w:sz w:val="18"/>
                <w:szCs w:val="18"/>
              </w:rPr>
              <w:t>KM</w:t>
            </w:r>
            <w:r>
              <w:rPr>
                <w:rFonts w:hint="eastAsia"/>
                <w:color w:val="auto"/>
                <w:sz w:val="18"/>
                <w:szCs w:val="18"/>
              </w:rPr>
              <w:t>，不含过路费等其他费用。驾驶员均由专业第三方公司派遣驾驶员。单日行程超过9小时后，超时费3</w:t>
            </w:r>
            <w:r>
              <w:rPr>
                <w:color w:val="auto"/>
                <w:sz w:val="18"/>
                <w:szCs w:val="18"/>
              </w:rPr>
              <w:t>0</w:t>
            </w:r>
            <w:r>
              <w:rPr>
                <w:rFonts w:hint="eastAsia"/>
                <w:color w:val="auto"/>
                <w:sz w:val="18"/>
                <w:szCs w:val="18"/>
              </w:rPr>
              <w:t>元/小时。单日行程超过1</w:t>
            </w:r>
            <w:r>
              <w:rPr>
                <w:color w:val="auto"/>
                <w:sz w:val="18"/>
                <w:szCs w:val="18"/>
              </w:rPr>
              <w:t>5</w:t>
            </w:r>
            <w:r>
              <w:rPr>
                <w:rFonts w:hint="eastAsia"/>
                <w:color w:val="auto"/>
                <w:sz w:val="18"/>
                <w:szCs w:val="18"/>
              </w:rPr>
              <w:t>小时按2日计算人车并租费用。</w:t>
            </w:r>
          </w:p>
        </w:tc>
      </w:tr>
      <w:tr>
        <w:tblPrEx>
          <w:tblLayout w:type="fixed"/>
          <w:tblCellMar>
            <w:top w:w="15" w:type="dxa"/>
            <w:left w:w="15" w:type="dxa"/>
            <w:bottom w:w="15" w:type="dxa"/>
            <w:right w:w="15" w:type="dxa"/>
          </w:tblCellMar>
        </w:tblPrEx>
        <w:trPr>
          <w:gridAfter w:val="1"/>
          <w:wAfter w:w="432" w:type="dxa"/>
          <w:trHeight w:val="38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12</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越野车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600</w:t>
            </w:r>
          </w:p>
        </w:tc>
        <w:tc>
          <w:tcPr>
            <w:tcW w:w="4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gridAfter w:val="1"/>
          <w:wAfter w:w="432" w:type="dxa"/>
          <w:trHeight w:val="38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13</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大通、福特途睿欧（24万以下）</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18"/>
                <w:szCs w:val="18"/>
              </w:rPr>
            </w:pPr>
            <w:r>
              <w:rPr>
                <w:rFonts w:hint="eastAsia"/>
                <w:sz w:val="18"/>
                <w:szCs w:val="18"/>
              </w:rPr>
              <w:t>600</w:t>
            </w:r>
          </w:p>
        </w:tc>
        <w:tc>
          <w:tcPr>
            <w:tcW w:w="4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gridAfter w:val="1"/>
          <w:wAfter w:w="432" w:type="dxa"/>
          <w:trHeight w:val="43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14</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别克</w:t>
            </w:r>
            <w:r>
              <w:rPr>
                <w:rFonts w:ascii="宋体" w:hAnsi="宋体" w:eastAsia="宋体" w:cs="宋体"/>
                <w:color w:val="000000"/>
                <w:kern w:val="0"/>
                <w:sz w:val="18"/>
                <w:szCs w:val="18"/>
              </w:rPr>
              <w:t>GL</w:t>
            </w:r>
            <w:r>
              <w:rPr>
                <w:rFonts w:hint="eastAsia" w:ascii="宋体" w:hAnsi="宋体" w:eastAsia="宋体" w:cs="宋体"/>
                <w:color w:val="000000"/>
                <w:kern w:val="0"/>
                <w:sz w:val="18"/>
                <w:szCs w:val="18"/>
              </w:rPr>
              <w:t>8、本田奥德赛（24万以上）</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650</w:t>
            </w:r>
          </w:p>
        </w:tc>
        <w:tc>
          <w:tcPr>
            <w:tcW w:w="4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gridAfter w:val="1"/>
          <w:wAfter w:w="432" w:type="dxa"/>
          <w:trHeight w:val="38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15</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半天（4小时以内）</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速腾、迈腾、帕萨特）</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auto"/>
              </w:rPr>
            </w:pPr>
            <w:r>
              <w:rPr>
                <w:rFonts w:hint="eastAsia" w:ascii="宋体" w:hAnsi="宋体" w:eastAsia="宋体" w:cs="宋体"/>
                <w:color w:val="auto"/>
                <w:kern w:val="0"/>
                <w:sz w:val="18"/>
                <w:szCs w:val="18"/>
              </w:rPr>
              <w:t>220</w:t>
            </w:r>
          </w:p>
        </w:tc>
        <w:tc>
          <w:tcPr>
            <w:tcW w:w="4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auto"/>
                <w:sz w:val="18"/>
                <w:szCs w:val="18"/>
              </w:rPr>
            </w:pPr>
            <w:r>
              <w:rPr>
                <w:rFonts w:hint="eastAsia"/>
                <w:color w:val="auto"/>
                <w:sz w:val="18"/>
                <w:szCs w:val="18"/>
              </w:rPr>
              <w:t>轿车1元/</w:t>
            </w:r>
            <w:r>
              <w:rPr>
                <w:color w:val="auto"/>
                <w:sz w:val="18"/>
                <w:szCs w:val="18"/>
              </w:rPr>
              <w:t>KM</w:t>
            </w:r>
            <w:r>
              <w:rPr>
                <w:rFonts w:hint="eastAsia"/>
                <w:color w:val="auto"/>
                <w:sz w:val="18"/>
                <w:szCs w:val="18"/>
              </w:rPr>
              <w:t>，越野车及商务车1.5元/</w:t>
            </w:r>
            <w:r>
              <w:rPr>
                <w:color w:val="auto"/>
                <w:sz w:val="18"/>
                <w:szCs w:val="18"/>
              </w:rPr>
              <w:t>KM</w:t>
            </w:r>
            <w:r>
              <w:rPr>
                <w:rFonts w:hint="eastAsia"/>
                <w:color w:val="auto"/>
                <w:sz w:val="18"/>
                <w:szCs w:val="18"/>
              </w:rPr>
              <w:t>，不含过路费等其他费用。驾驶员均由专业第三方公司派遣驾驶员。单日行程超过9小时后，超时费3</w:t>
            </w:r>
            <w:r>
              <w:rPr>
                <w:color w:val="auto"/>
                <w:sz w:val="18"/>
                <w:szCs w:val="18"/>
              </w:rPr>
              <w:t>0</w:t>
            </w:r>
            <w:r>
              <w:rPr>
                <w:rFonts w:hint="eastAsia"/>
                <w:color w:val="auto"/>
                <w:sz w:val="18"/>
                <w:szCs w:val="18"/>
              </w:rPr>
              <w:t>元/小时。单日行程超过1</w:t>
            </w:r>
            <w:r>
              <w:rPr>
                <w:color w:val="auto"/>
                <w:sz w:val="18"/>
                <w:szCs w:val="18"/>
              </w:rPr>
              <w:t>5</w:t>
            </w:r>
            <w:r>
              <w:rPr>
                <w:rFonts w:hint="eastAsia"/>
                <w:color w:val="auto"/>
                <w:sz w:val="18"/>
                <w:szCs w:val="18"/>
              </w:rPr>
              <w:t>小时按2日计算人车并租费用。</w:t>
            </w:r>
          </w:p>
        </w:tc>
      </w:tr>
      <w:tr>
        <w:tblPrEx>
          <w:tblLayout w:type="fixed"/>
          <w:tblCellMar>
            <w:top w:w="15" w:type="dxa"/>
            <w:left w:w="15" w:type="dxa"/>
            <w:bottom w:w="15" w:type="dxa"/>
            <w:right w:w="15" w:type="dxa"/>
          </w:tblCellMar>
        </w:tblPrEx>
        <w:trPr>
          <w:gridAfter w:val="1"/>
          <w:wAfter w:w="432" w:type="dxa"/>
          <w:trHeight w:val="38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16</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越野车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18"/>
                <w:szCs w:val="18"/>
              </w:rPr>
            </w:pPr>
            <w:r>
              <w:rPr>
                <w:rFonts w:hint="eastAsia"/>
                <w:sz w:val="18"/>
                <w:szCs w:val="18"/>
              </w:rPr>
              <w:t>400</w:t>
            </w:r>
          </w:p>
        </w:tc>
        <w:tc>
          <w:tcPr>
            <w:tcW w:w="4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gridAfter w:val="1"/>
          <w:wAfter w:w="432" w:type="dxa"/>
          <w:trHeight w:val="38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17</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大通、福特途睿欧（24万以下））</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18"/>
                <w:szCs w:val="18"/>
              </w:rPr>
            </w:pPr>
            <w:r>
              <w:rPr>
                <w:rFonts w:hint="eastAsia"/>
                <w:sz w:val="18"/>
                <w:szCs w:val="18"/>
              </w:rPr>
              <w:t>400</w:t>
            </w:r>
          </w:p>
        </w:tc>
        <w:tc>
          <w:tcPr>
            <w:tcW w:w="4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gridAfter w:val="1"/>
          <w:wAfter w:w="432" w:type="dxa"/>
          <w:trHeight w:val="43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18</w:t>
            </w: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别克</w:t>
            </w:r>
            <w:r>
              <w:rPr>
                <w:rFonts w:ascii="宋体" w:hAnsi="宋体" w:eastAsia="宋体" w:cs="宋体"/>
                <w:color w:val="000000"/>
                <w:kern w:val="0"/>
                <w:sz w:val="18"/>
                <w:szCs w:val="18"/>
              </w:rPr>
              <w:t>GL</w:t>
            </w:r>
            <w:r>
              <w:rPr>
                <w:rFonts w:hint="eastAsia" w:ascii="宋体" w:hAnsi="宋体" w:eastAsia="宋体" w:cs="宋体"/>
                <w:color w:val="000000"/>
                <w:kern w:val="0"/>
                <w:sz w:val="18"/>
                <w:szCs w:val="18"/>
              </w:rPr>
              <w:t>8、本田奥德赛（24万以上）</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eastAsia="宋体" w:cs="宋体"/>
                <w:color w:val="000000"/>
                <w:kern w:val="0"/>
                <w:sz w:val="18"/>
                <w:szCs w:val="18"/>
              </w:rPr>
              <w:t>450</w:t>
            </w:r>
          </w:p>
        </w:tc>
        <w:tc>
          <w:tcPr>
            <w:tcW w:w="4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trHeight w:val="1276" w:hRule="atLeast"/>
        </w:trPr>
        <w:tc>
          <w:tcPr>
            <w:tcW w:w="9680" w:type="dxa"/>
            <w:gridSpan w:val="7"/>
          </w:tcPr>
          <w:p>
            <w:pPr>
              <w:widowControl/>
              <w:ind w:left="1155" w:leftChars="150" w:hanging="840" w:hangingChars="400"/>
              <w:jc w:val="left"/>
              <w:textAlignment w:val="center"/>
              <w:rPr>
                <w:rFonts w:ascii="宋体" w:hAnsi="宋体" w:eastAsia="宋体" w:cs="宋体"/>
                <w:color w:val="000000"/>
                <w:szCs w:val="21"/>
              </w:rPr>
            </w:pPr>
            <w:r>
              <w:rPr>
                <w:rFonts w:hint="eastAsia" w:ascii="宋体" w:hAnsi="宋体" w:eastAsia="宋体" w:cs="宋体"/>
                <w:color w:val="000000"/>
                <w:szCs w:val="21"/>
              </w:rPr>
              <w:t>备注：1.人车并租时，如租车方不提供驾驶员食宿，住宿费按照市县级城市</w:t>
            </w:r>
            <w:r>
              <w:rPr>
                <w:rFonts w:hint="eastAsia" w:ascii="宋体" w:hAnsi="宋体" w:eastAsia="宋体" w:cs="宋体"/>
                <w:color w:val="auto"/>
                <w:szCs w:val="21"/>
              </w:rPr>
              <w:t>260元/天</w:t>
            </w:r>
            <w:r>
              <w:rPr>
                <w:rFonts w:hint="eastAsia" w:ascii="宋体" w:hAnsi="宋体" w:eastAsia="宋体" w:cs="宋体"/>
                <w:color w:val="000000"/>
                <w:szCs w:val="21"/>
              </w:rPr>
              <w:t>，省会级城市300/天进行补贴。</w:t>
            </w:r>
          </w:p>
          <w:p>
            <w:pPr>
              <w:widowControl/>
              <w:ind w:firstLine="945" w:firstLineChars="450"/>
              <w:jc w:val="left"/>
              <w:textAlignment w:val="center"/>
              <w:rPr>
                <w:rFonts w:ascii="宋体" w:hAnsi="宋体" w:eastAsia="宋体" w:cs="宋体"/>
                <w:color w:val="000000"/>
                <w:szCs w:val="21"/>
              </w:rPr>
            </w:pPr>
            <w:r>
              <w:rPr>
                <w:rFonts w:hint="eastAsia" w:ascii="宋体" w:hAnsi="宋体" w:eastAsia="宋体" w:cs="宋体"/>
                <w:color w:val="000000"/>
                <w:szCs w:val="21"/>
              </w:rPr>
              <w:t>2.单车租赁时，出租方不单独提供送车服务（三天以上单车租赁免费提供接送车服务），如需</w:t>
            </w:r>
          </w:p>
          <w:p>
            <w:pPr>
              <w:widowControl/>
              <w:ind w:firstLine="1155" w:firstLineChars="550"/>
              <w:jc w:val="left"/>
              <w:textAlignment w:val="center"/>
              <w:rPr>
                <w:rFonts w:ascii="宋体" w:hAnsi="宋体" w:eastAsia="宋体" w:cs="宋体"/>
                <w:color w:val="000000"/>
                <w:szCs w:val="21"/>
              </w:rPr>
            </w:pPr>
            <w:r>
              <w:rPr>
                <w:rFonts w:hint="eastAsia" w:ascii="宋体" w:hAnsi="宋体" w:eastAsia="宋体" w:cs="宋体"/>
                <w:color w:val="000000"/>
                <w:szCs w:val="21"/>
              </w:rPr>
              <w:t>提供送车服务，按照50元/趟进行补贴。</w:t>
            </w:r>
          </w:p>
        </w:tc>
      </w:tr>
    </w:tbl>
    <w:p>
      <w:pPr>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val="en-US" w:eastAsia="zh-CN"/>
        </w:rPr>
        <w:t>三</w:t>
      </w:r>
      <w:r>
        <w:rPr>
          <w:rFonts w:hint="eastAsia" w:ascii="仿宋_GB2312" w:hAnsi="仿宋_GB2312" w:eastAsia="仿宋_GB2312" w:cs="仿宋_GB2312"/>
          <w:spacing w:val="-20"/>
          <w:sz w:val="32"/>
          <w:szCs w:val="32"/>
        </w:rPr>
        <w:t>、必须按照约定时间（提前15-30分钟）到达指定接送地点，保证车辆安全设施齐全，车况良好，保险齐全有效、车内保持清洁卫生，符合承运要求。</w:t>
      </w:r>
    </w:p>
    <w:p>
      <w:pPr>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val="en-US" w:eastAsia="zh-CN"/>
        </w:rPr>
        <w:t>四</w:t>
      </w:r>
      <w:r>
        <w:rPr>
          <w:rFonts w:hint="eastAsia" w:ascii="仿宋_GB2312" w:hAnsi="仿宋_GB2312" w:eastAsia="仿宋_GB2312" w:cs="仿宋_GB2312"/>
          <w:spacing w:val="-20"/>
          <w:sz w:val="32"/>
          <w:szCs w:val="32"/>
        </w:rPr>
        <w:t>、第三方驾驶员必须持有的与驾驶车辆类型相符合的驾驶证、从业资格证，驾驶员技术熟练，安全意识强，保证不超员、不超速、不疲劳驾驶。</w:t>
      </w:r>
    </w:p>
    <w:p>
      <w:pPr>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val="en-US" w:eastAsia="zh-CN"/>
        </w:rPr>
        <w:t>五</w:t>
      </w:r>
      <w:r>
        <w:rPr>
          <w:rFonts w:hint="eastAsia" w:ascii="仿宋_GB2312" w:hAnsi="仿宋_GB2312" w:eastAsia="仿宋_GB2312" w:cs="仿宋_GB2312"/>
          <w:spacing w:val="-20"/>
          <w:sz w:val="32"/>
          <w:szCs w:val="32"/>
        </w:rPr>
        <w:t>、人车并租时，如遇事故，车辆不能继续行驶时，应及时另行派车继续保障正常用车。人车并租发生的车辆交通安全事故、一切后果由租赁方负责，单租车发生的车辆交通安全事故在减除保险赔付后差额部分由承租方负责，但车辆维修期间承租方不再承担租赁费用。</w:t>
      </w:r>
    </w:p>
    <w:p>
      <w:pPr>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val="en-US" w:eastAsia="zh-CN"/>
        </w:rPr>
        <w:t>六</w:t>
      </w:r>
      <w:r>
        <w:rPr>
          <w:rFonts w:hint="eastAsia" w:ascii="仿宋_GB2312" w:hAnsi="仿宋_GB2312" w:eastAsia="仿宋_GB2312" w:cs="仿宋_GB2312"/>
          <w:spacing w:val="-20"/>
          <w:sz w:val="32"/>
          <w:szCs w:val="32"/>
        </w:rPr>
        <w:t>、租赁车辆需购买机动车交通事故责任强制保险和机动车综合商业保险，即机动车损失保险、机动车第三者责任保险（不低于100万元），机动车车上人员责任保险（每座不低于5万元），不计免赔率险等。</w:t>
      </w:r>
    </w:p>
    <w:p>
      <w:pPr>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val="en-US" w:eastAsia="zh-CN"/>
        </w:rPr>
        <w:t>七</w:t>
      </w:r>
      <w:r>
        <w:rPr>
          <w:rFonts w:hint="eastAsia" w:ascii="仿宋_GB2312" w:hAnsi="仿宋_GB2312" w:eastAsia="仿宋_GB2312" w:cs="仿宋_GB2312"/>
          <w:spacing w:val="-20"/>
          <w:sz w:val="32"/>
          <w:szCs w:val="32"/>
        </w:rPr>
        <w:t>、租赁期间发生正常的车辆机械事故，导致无法正常运行，承租方有权选择租赁方及时调换车辆，或终止此次租赁合同。</w:t>
      </w:r>
    </w:p>
    <w:p>
      <w:pPr>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val="en-US" w:eastAsia="zh-CN"/>
        </w:rPr>
        <w:t>八</w:t>
      </w:r>
      <w:r>
        <w:rPr>
          <w:rFonts w:hint="eastAsia" w:ascii="仿宋_GB2312" w:hAnsi="仿宋_GB2312" w:eastAsia="仿宋_GB2312" w:cs="仿宋_GB2312"/>
          <w:spacing w:val="-20"/>
          <w:sz w:val="32"/>
          <w:szCs w:val="32"/>
        </w:rPr>
        <w:t>、所租赁的车辆所有人为本汽车租赁企业所有。</w:t>
      </w:r>
    </w:p>
    <w:p>
      <w:pPr>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val="en-US" w:eastAsia="zh-CN"/>
        </w:rPr>
        <w:t>九</w:t>
      </w:r>
      <w:r>
        <w:rPr>
          <w:rFonts w:hint="eastAsia" w:ascii="仿宋_GB2312" w:hAnsi="仿宋_GB2312" w:eastAsia="仿宋_GB2312" w:cs="仿宋_GB2312"/>
          <w:spacing w:val="-20"/>
          <w:sz w:val="32"/>
          <w:szCs w:val="32"/>
        </w:rPr>
        <w:t>、结算方式：由出租方负责汇总用车明细，形成表格、附租车方用车人签字确认的派车单、出具发票、采取月度结算方式结算。</w:t>
      </w:r>
    </w:p>
    <w:p>
      <w:pPr>
        <w:rPr>
          <w:rFonts w:ascii="仿宋_GB2312" w:hAnsi="仿宋_GB2312" w:eastAsia="仿宋_GB2312" w:cs="仿宋_GB2312"/>
          <w:spacing w:val="-20"/>
          <w:sz w:val="32"/>
          <w:szCs w:val="32"/>
        </w:rPr>
      </w:pPr>
    </w:p>
    <w:p>
      <w:pPr>
        <w:ind w:firstLine="5600" w:firstLineChars="2000"/>
        <w:rPr>
          <w:rFonts w:ascii="仿宋_GB2312" w:hAnsi="仿宋_GB2312" w:eastAsia="仿宋_GB2312" w:cs="仿宋_GB2312"/>
          <w:spacing w:val="-2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IyN2NiMWNkOTA1MDQ5ZDc1YmM4MzI1MjVlMmI4OGYifQ=="/>
  </w:docVars>
  <w:rsids>
    <w:rsidRoot w:val="00E6003C"/>
    <w:rsid w:val="0009534F"/>
    <w:rsid w:val="00240266"/>
    <w:rsid w:val="00730C00"/>
    <w:rsid w:val="00766842"/>
    <w:rsid w:val="008E48DF"/>
    <w:rsid w:val="00AE474A"/>
    <w:rsid w:val="00C924A7"/>
    <w:rsid w:val="00E11B7F"/>
    <w:rsid w:val="00E6003C"/>
    <w:rsid w:val="00F94B72"/>
    <w:rsid w:val="14B940A6"/>
    <w:rsid w:val="1EBC361B"/>
    <w:rsid w:val="20770D67"/>
    <w:rsid w:val="25EA52DA"/>
    <w:rsid w:val="292F2731"/>
    <w:rsid w:val="2DF6381D"/>
    <w:rsid w:val="36056CF3"/>
    <w:rsid w:val="38DD5D05"/>
    <w:rsid w:val="3D556267"/>
    <w:rsid w:val="3EBB6853"/>
    <w:rsid w:val="3F114EC4"/>
    <w:rsid w:val="48D95CC7"/>
    <w:rsid w:val="493556E9"/>
    <w:rsid w:val="4E597784"/>
    <w:rsid w:val="52E92B8E"/>
    <w:rsid w:val="62EF3FB1"/>
    <w:rsid w:val="64986CF3"/>
    <w:rsid w:val="6D4426F6"/>
    <w:rsid w:val="6D6A1E20"/>
    <w:rsid w:val="76FA1065"/>
    <w:rsid w:val="77FD18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正文首行缩进两字符"/>
    <w:basedOn w:val="1"/>
    <w:qFormat/>
    <w:uiPriority w:val="0"/>
    <w:pPr>
      <w:tabs>
        <w:tab w:val="left" w:pos="0"/>
      </w:tabs>
      <w:spacing w:line="360" w:lineRule="auto"/>
      <w:ind w:firstLine="200" w:firstLineChars="200"/>
    </w:pPr>
    <w:rPr>
      <w:szCs w:val="20"/>
    </w:rPr>
  </w:style>
  <w:style w:type="character" w:customStyle="1" w:styleId="10">
    <w:name w:val="页眉 Char"/>
    <w:basedOn w:val="6"/>
    <w:link w:val="5"/>
    <w:qFormat/>
    <w:uiPriority w:val="0"/>
    <w:rPr>
      <w:kern w:val="2"/>
      <w:sz w:val="18"/>
      <w:szCs w:val="18"/>
    </w:rPr>
  </w:style>
  <w:style w:type="character" w:customStyle="1" w:styleId="11">
    <w:name w:val="页脚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1409</Characters>
  <Lines>11</Lines>
  <Paragraphs>3</Paragraphs>
  <TotalTime>31</TotalTime>
  <ScaleCrop>false</ScaleCrop>
  <LinksUpToDate>false</LinksUpToDate>
  <CharactersWithSpaces>1411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2022-10-11T09:50:00Z</dcterms:created>
  <dc:creator>HP</dc:creator>
  <cp:lastModifiedBy>Administrator</cp:lastModifiedBy>
  <cp:lastPrinted>2022-12-08T09:43:00Z</cp:lastPrinted>
  <dcterms:modified xsi:type="dcterms:W3CDTF">2023-01-05T01:10:45Z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180593627C314C219E05856EDBC05953</vt:lpwstr>
  </property>
</Properties>
</file>