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附件一：</w:t>
      </w:r>
      <w:r>
        <w:rPr>
          <w:rFonts w:hint="eastAsia" w:ascii="黑体" w:hAnsi="黑体" w:eastAsia="黑体"/>
          <w:sz w:val="44"/>
          <w:szCs w:val="44"/>
        </w:rPr>
        <w:t>采购需求</w:t>
      </w:r>
    </w:p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一、采购内容</w:t>
      </w:r>
    </w:p>
    <w:p>
      <w:pPr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COD水质自动在线分析仪设备一台（含安装、比对矫正及环保验收备案等所有工作），要求安装并完成环保验收备案手续。</w:t>
      </w:r>
    </w:p>
    <w:p>
      <w:pPr>
        <w:rPr>
          <w:rFonts w:hint="eastAsia"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二、设备参数</w:t>
      </w:r>
    </w:p>
    <w:p>
      <w:pPr>
        <w:spacing w:before="156" w:beforeLines="50" w:after="156" w:afterLines="50"/>
        <w:rPr>
          <w:rFonts w:hint="eastAsia" w:ascii="仿宋_GB2312" w:eastAsia="仿宋_GB2312" w:cs="Times New Roman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24"/>
          <w:szCs w:val="24"/>
        </w:rPr>
        <w:t xml:space="preserve">  （一）</w:t>
      </w: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测量原理（</w:t>
      </w:r>
      <w:r>
        <w:rPr>
          <w:rFonts w:hint="eastAsia" w:ascii="仿宋_GB2312" w:hAnsi="宋体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重铬酸钾氧化分光光度法</w:t>
      </w: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</w:t>
      </w:r>
    </w:p>
    <w:p>
      <w:pPr>
        <w:spacing w:line="300" w:lineRule="auto"/>
        <w:ind w:firstLine="42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采用重铬酸钾氧化－分光光度法对水样中的有机物含量进行测量。水样、重铬酸钾和硫酸－硫酸银混合溶液（硫酸银作为催化剂加入可以更有效地氧化直链脂肪化合物），在一定温度下高压密封消解使得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Cr</w:t>
      </w: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（Ⅵ）转化为绿色的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Cr</w:t>
      </w: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（Ⅲ），其颜色的变化程度与水样中还原性物质的含量成正比，分析仪检测此颜色的变化，并把这种变化换算成</w:t>
      </w:r>
      <w:r>
        <w:rPr>
          <w:rFonts w:hint="eastAsia" w:ascii="仿宋_GB2312" w:hAnsi="Times New Roman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COD </w:t>
      </w:r>
      <w:r>
        <w:rPr>
          <w:rFonts w:hint="eastAsia" w:ascii="仿宋_GB2312" w:hAnsi="宋体" w:eastAsia="仿宋_GB2312" w:cs="Times New Roman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值输出。</w:t>
      </w:r>
    </w:p>
    <w:p>
      <w:pPr>
        <w:spacing w:before="156" w:beforeLines="50" w:after="156" w:afterLines="50"/>
        <w:ind w:firstLine="240" w:firstLineChars="100"/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（二）技术参数</w:t>
      </w:r>
    </w:p>
    <w:tbl>
      <w:tblPr>
        <w:tblStyle w:val="4"/>
        <w:tblW w:w="87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678"/>
        <w:gridCol w:w="63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7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   目</w:t>
            </w:r>
          </w:p>
        </w:tc>
        <w:tc>
          <w:tcPr>
            <w:tcW w:w="636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    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测量范围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0-200/500/1000/5000mg/L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；可根据现场需求扩展、定制。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重复性</w:t>
            </w:r>
          </w:p>
        </w:tc>
        <w:tc>
          <w:tcPr>
            <w:tcW w:w="6362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24h低浓度漂移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24h高浓度漂移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准确度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标准溶液浓度&lt;30mg/L, 不超过±5mg/L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标准溶液浓度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30mg/L，不超过±10%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restart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78" w:type="dxa"/>
            <w:vMerge w:val="restart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实际废水比对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实际水样CODcr&lt;30mg/L(用浓度为20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25mg/L的标准样品替代实</w:t>
            </w:r>
          </w:p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际水样进行测试)， 不超过±5mg/L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mg/L</w:t>
            </w: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≤实际水样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CODcr&lt;60mg/L，不超过±30%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mg/L</w:t>
            </w: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≤实际水样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CODcr&lt;100mg/L，不超过±20%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Merge w:val="continue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8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实际水样CODcr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100mg/L，不超过±15%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记忆效应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电压干扰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环境温度试验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不超过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±5%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一致性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数据有效性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≥90%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测定下限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5mg/L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测量周期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45min左右；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采样周期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时间间隔（30～9999min任意设定）和24h整点时间测量模式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678" w:type="dxa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显示屏幕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寸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TFT</w:t>
            </w:r>
            <w:r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彩色触摸屏，分辨率为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800×600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校准周期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自动校准时间1～99 天任意间隔任意时刻可调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自动清洗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每次测定完成后仪器自动清洗，也可根据现场情况周期清洗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审核测试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依据行业标准，提供5种审核项目的自动测试方法：质控样、</w:t>
            </w:r>
          </w:p>
          <w:p>
            <w:pPr>
              <w:ind w:left="240" w:hanging="240" w:hangingChars="100"/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直线性、重复性、实际水样比对、零点与量程漂移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数据存储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可连续存储5年以上的数据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仪器接口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6"/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RS232、RS485、标准RJ45、1路4-20mA输出或无线网络反控（选配）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78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功 率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＜200W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678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供电电压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(220±22)VAC，( 50±0.5)Hz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678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环境要求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建议温度（5～35)℃ ；湿度≤85%(不结露）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717" w:type="dxa"/>
            <w:vAlign w:val="center"/>
          </w:tcPr>
          <w:p>
            <w:pPr>
              <w:pStyle w:val="6"/>
              <w:ind w:right="105" w:firstLine="0" w:firstLineChars="0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678" w:type="dxa"/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其它功能</w:t>
            </w:r>
          </w:p>
        </w:tc>
        <w:tc>
          <w:tcPr>
            <w:tcW w:w="6362" w:type="dxa"/>
            <w:vAlign w:val="center"/>
          </w:tcPr>
          <w:p>
            <w:pPr>
              <w:ind w:left="240" w:hanging="240" w:hangingChars="100"/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试剂余量预警、仪器日志、故障报警</w:t>
            </w:r>
          </w:p>
        </w:tc>
      </w:tr>
    </w:tbl>
    <w:p>
      <w:pPr>
        <w:spacing w:before="156" w:beforeLines="50" w:after="156" w:afterLines="50"/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（三）其他性能要求</w:t>
      </w:r>
    </w:p>
    <w:p>
      <w:pPr>
        <w:spacing w:line="276" w:lineRule="auto"/>
        <w:ind w:firstLine="720" w:firstLineChars="30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1.屏蔽氯离子能力：最高可屏蔽20000mg/L 氯离子；</w:t>
      </w:r>
    </w:p>
    <w:p>
      <w:pPr>
        <w:spacing w:line="276" w:lineRule="auto"/>
        <w:ind w:firstLine="720" w:firstLineChars="30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2.试剂使用量少，废液产生量少；</w:t>
      </w:r>
    </w:p>
    <w:p>
      <w:pPr>
        <w:spacing w:line="276" w:lineRule="auto"/>
        <w:ind w:firstLine="720" w:firstLineChars="300"/>
        <w:jc w:val="left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3.定量精确，稳定性强；</w:t>
      </w:r>
    </w:p>
    <w:p>
      <w:pPr>
        <w:ind w:firstLine="720" w:firstLineChars="300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4.设备结构简单，易操作、维护，安全性好；</w:t>
      </w:r>
    </w:p>
    <w:p>
      <w:pPr>
        <w:ind w:firstLine="720" w:firstLineChars="300"/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5.设备数据贮存不低于5年。</w:t>
      </w:r>
    </w:p>
    <w:p>
      <w:pPr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（四）设备资质要求</w:t>
      </w:r>
    </w:p>
    <w:p>
      <w:pPr>
        <w:ind w:firstLine="480"/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具备环境保护部环境监测仪器质量监督检验中心出具的检测报告。</w:t>
      </w:r>
    </w:p>
    <w:p>
      <w:pPr>
        <w:ind w:firstLine="480"/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设备具备中国环境保护产品认证证书。</w:t>
      </w:r>
      <w:bookmarkStart w:id="1" w:name="_GoBack"/>
      <w:bookmarkEnd w:id="1"/>
    </w:p>
    <w:p>
      <w:pP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三、付款方式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单台最高限价不超过3万元（含运输、安装、比对验收、环保备案等所有工作）；完成安装及验收等所有工作后，收到增值税发票后30个工作日以转款方式进行费用支付。设备总价的5%作为设备质保金，质保2年后无息退还。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p>
      <w:pP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四、送货及质保要求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双方成交后，要求1周内送货，20日完成安装、比对矫正及验收等所有工作。</w:t>
      </w:r>
    </w:p>
    <w:p>
      <w:pP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设备质保不低于2年，除人为因素外，因设备故障无法正常使用等情况，应确保2小时内响应，必要时4小时内到达现场进行故障处理。</w:t>
      </w:r>
    </w:p>
    <w:p>
      <w:pPr>
        <w:rPr>
          <w:rFonts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            </w:t>
      </w:r>
    </w:p>
    <w:p>
      <w:pPr>
        <w:rPr>
          <w:rFonts w:hint="eastAsia" w:ascii="仿宋_GB2312" w:eastAsia="仿宋_GB2312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cs="Times New Roman"/>
          <w:color w:val="000000" w:themeColor="text1"/>
          <w:sz w:val="22"/>
          <w14:textFill>
            <w14:solidFill>
              <w14:schemeClr w14:val="tx1"/>
            </w14:solidFill>
          </w14:textFill>
        </w:rPr>
        <w:t xml:space="preserve">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92"/>
    <w:rsid w:val="00134EDD"/>
    <w:rsid w:val="007450E9"/>
    <w:rsid w:val="007A3D92"/>
    <w:rsid w:val="007D4CD6"/>
    <w:rsid w:val="00924FFE"/>
    <w:rsid w:val="00AE6102"/>
    <w:rsid w:val="00FA7C79"/>
    <w:rsid w:val="5048728D"/>
    <w:rsid w:val="5CA6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paragraph" w:customStyle="1" w:styleId="6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黑体"/>
    </w:rPr>
  </w:style>
  <w:style w:type="character" w:customStyle="1" w:styleId="7">
    <w:name w:val="批注框文本 字符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71008E-E519-4D40-A64C-A09A37D116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1461</Characters>
  <Lines>12</Lines>
  <Paragraphs>3</Paragraphs>
  <TotalTime>41</TotalTime>
  <ScaleCrop>false</ScaleCrop>
  <LinksUpToDate>false</LinksUpToDate>
  <CharactersWithSpaces>1714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2024-01-23T07:09:00Z</dcterms:created>
  <dc:creator>123</dc:creator>
  <cp:lastModifiedBy>汪纯2</cp:lastModifiedBy>
  <cp:lastPrinted>2024-02-06T07:40:00Z</cp:lastPrinted>
  <dcterms:modified xsi:type="dcterms:W3CDTF">2024-03-13T01:25:12Z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