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附件一：</w:t>
      </w:r>
      <w:r>
        <w:rPr>
          <w:rFonts w:hint="eastAsia" w:ascii="黑体" w:hAnsi="黑体" w:eastAsia="黑体"/>
          <w:sz w:val="44"/>
          <w:szCs w:val="44"/>
        </w:rPr>
        <w:t>采购需求</w:t>
      </w: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一、采购内容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COD水质自</w:t>
      </w:r>
      <w:bookmarkStart w:id="1" w:name="_GoBack"/>
      <w:bookmarkEnd w:id="1"/>
      <w:r>
        <w:rPr>
          <w:rFonts w:hint="eastAsia" w:ascii="仿宋_GB2312" w:eastAsia="仿宋_GB2312"/>
          <w:sz w:val="24"/>
          <w:szCs w:val="24"/>
        </w:rPr>
        <w:t>动在线分析仪设备一台（含安装、比对矫正及环保验收备案等所有工作），要求安装并完成环保验收备案手续。</w:t>
      </w: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二、设备参数</w:t>
      </w:r>
    </w:p>
    <w:p>
      <w:pPr>
        <w:spacing w:before="156" w:beforeLines="50" w:after="156" w:afterLines="50"/>
        <w:rPr>
          <w:rFonts w:hint="eastAsia" w:ascii="仿宋_GB2312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</w:rPr>
        <w:t xml:space="preserve">  （一）</w:t>
      </w: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测量原理（</w:t>
      </w: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重铬酸钾氧化分光光度法</w:t>
      </w: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00" w:lineRule="auto"/>
        <w:ind w:firstLine="42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采用重铬酸钾氧化－分光光度法对水样中的有机物含量进行测量。水样、重铬酸钾和硫酸－硫酸银混合溶液（硫酸银作为催化剂加入可以更有效地氧化直链脂肪化合物），在一定温度下高压密封消解使得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（Ⅵ）转化为绿色的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（Ⅲ），其颜色的变化程度与水样中还原性物质的含量成正比，分析仪检测此颜色的变化，并把这种变化换算成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COD 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值输出。</w:t>
      </w:r>
    </w:p>
    <w:p>
      <w:pPr>
        <w:spacing w:before="156" w:beforeLines="50" w:after="156" w:afterLines="50"/>
        <w:ind w:firstLine="240" w:firstLineChars="100"/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（二）技术参数</w:t>
      </w:r>
    </w:p>
    <w:tbl>
      <w:tblPr>
        <w:tblStyle w:val="4"/>
        <w:tblW w:w="87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78"/>
        <w:gridCol w:w="6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636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测量范围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0-200/500/1000/5000mg/L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；可根据现场需求扩展、定制。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重复性</w:t>
            </w:r>
          </w:p>
        </w:tc>
        <w:tc>
          <w:tcPr>
            <w:tcW w:w="636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24h低浓度漂移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24h高浓度漂移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准确度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标准溶液浓度&lt;30mg/L, 不超过±5mg/L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标准溶液浓度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30mg/L，不超过±10%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实际废水比对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实际水样CODcr&lt;30mg/L(用浓度为20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25mg/L的标准样品替代实</w:t>
            </w:r>
          </w:p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际水样进行测试)， 不超过±5mg/L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mg/L</w:t>
            </w: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≤实际水样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CODcr&lt;60mg/L，不超过±30%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mg/L</w:t>
            </w: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≤实际水样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CODcr&lt;100mg/L，不超过±20%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实际水样CODcr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100mg/L，不超过±15%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记忆效应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电压干扰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环境温度试验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一致性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数据有效性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测定下限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45min左右；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时间间隔（30～9999min任意设定）和24h整点时间测量模式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显示屏幕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TFT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彩色触摸屏，分辨率为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800×600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校准周期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自动校准时间1～99 天任意间隔任意时刻可调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自动清洗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每次测定完成后仪器自动清洗，也可根据现场情况周期清洗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审核测试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依据行业标准，提供5种审核项目的自动测试方法：质控样、</w:t>
            </w:r>
          </w:p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直线性、重复性、实际水样比对、零点与量程漂移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数据存储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可连续存储5年以上的数据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仪器接口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RS232、RS485、标准RJ45、1路4-20mA输出或无线网络反控（选配）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 率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＜200W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供电电压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(220±22)VAC，( 50±0.5)Hz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环境要求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建议温度（5～35)℃ ；湿度≤85%(不结露）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其它功能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试剂余量预警、仪器日志、故障报警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（三）其他性能要求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1.屏蔽氯离子能力：最高可屏蔽20000mg/L 氯离子；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2.试剂使用量少，废液产生量少；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3.定量精确，稳定性强；</w:t>
      </w:r>
    </w:p>
    <w:p>
      <w:pPr>
        <w:ind w:firstLine="720" w:firstLineChars="300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4.设备结构简单，易操作、维护，安全性好；</w:t>
      </w:r>
    </w:p>
    <w:p>
      <w:pPr>
        <w:ind w:firstLine="720" w:firstLineChars="30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5.设备数据贮存不低于5年。</w:t>
      </w:r>
    </w:p>
    <w:p>
      <w:pP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（四）设备资质要求</w:t>
      </w:r>
    </w:p>
    <w:p>
      <w:pPr>
        <w:ind w:firstLine="48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具备环境保护部环境监测仪器质量监督检验中心出具的检测报告。</w:t>
      </w:r>
    </w:p>
    <w:p>
      <w:pPr>
        <w:ind w:firstLine="48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设备具备中国环境保护产品认证证书。</w:t>
      </w:r>
    </w:p>
    <w:p>
      <w:pPr>
        <w:ind w:firstLine="480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具备中华人民共和国计量器具型式批准证书。</w:t>
      </w:r>
    </w:p>
    <w:p>
      <w:pP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三、付款方式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单台最高限价不超过3万元（含运输、安装、比对验收、环保备案等所有工作）；完成安装及验收等所有工作后，收到增值税发票后30个工作日以转款方式进行费用支付。设备总价的5%作为设备质保金，质保2年后无息退还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四、送货及质保要求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双方成交后，要求1周内送货，20日完成安装、比对矫正及验收等所有工作。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设备质保不低于2年，除人为因素外，因设备故障无法正常使用等情况，应确保2小时内响应，必要时4小时内到达现场进行故障处理。</w:t>
      </w:r>
    </w:p>
    <w:p>
      <w:pP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rPr>
          <w:rFonts w:hint="eastAsia" w:ascii="仿宋_GB2312" w:eastAsia="仿宋_GB2312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2"/>
    <w:rsid w:val="00134EDD"/>
    <w:rsid w:val="007450E9"/>
    <w:rsid w:val="007A3D92"/>
    <w:rsid w:val="007D4CD6"/>
    <w:rsid w:val="00924FFE"/>
    <w:rsid w:val="00AE6102"/>
    <w:rsid w:val="00FA7C79"/>
    <w:rsid w:val="504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character" w:customStyle="1" w:styleId="7">
    <w:name w:val="批注框文本 字符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1008E-E519-4D40-A64C-A09A37D11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1461</Characters>
  <Lines>12</Lines>
  <Paragraphs>3</Paragraphs>
  <TotalTime>41</TotalTime>
  <ScaleCrop>false</ScaleCrop>
  <LinksUpToDate>false</LinksUpToDate>
  <CharactersWithSpaces>1714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2024-01-23T07:09:00Z</dcterms:created>
  <dc:creator>123</dc:creator>
  <cp:lastModifiedBy>汪纯2</cp:lastModifiedBy>
  <cp:lastPrinted>2024-02-06T07:40:56Z</cp:lastPrinted>
  <dcterms:modified xsi:type="dcterms:W3CDTF">2024-02-06T07:41:45Z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