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rPr>
      </w:pPr>
      <w:r>
        <w:rPr>
          <w:rFonts w:hint="eastAsia"/>
          <w:lang w:eastAsia="zh-CN"/>
        </w:rPr>
        <w:t>互联网专线</w:t>
      </w:r>
      <w:r>
        <w:rPr>
          <w:rFonts w:hint="eastAsia"/>
          <w:lang w:val="en-US" w:eastAsia="zh-CN"/>
        </w:rPr>
        <w:t>500M</w:t>
      </w:r>
      <w:r>
        <w:rPr>
          <w:rFonts w:hint="eastAsia"/>
          <w:lang w:eastAsia="zh-CN"/>
        </w:rPr>
        <w:t>租赁</w:t>
      </w:r>
      <w:r>
        <w:rPr>
          <w:rFonts w:hint="eastAsia"/>
        </w:rPr>
        <w:t>服务商务要求</w:t>
      </w:r>
    </w:p>
    <w:p>
      <w:pPr>
        <w:tabs>
          <w:tab w:val="left" w:pos="312"/>
        </w:tabs>
        <w:spacing w:line="520" w:lineRule="exact"/>
        <w:outlineLvl w:val="2"/>
        <w:rPr>
          <w:rFonts w:hAnsi="宋体"/>
          <w:b/>
          <w:bCs/>
          <w:sz w:val="24"/>
          <w:szCs w:val="24"/>
          <w:highlight w:val="none"/>
        </w:rPr>
      </w:pPr>
      <w:bookmarkStart w:id="0" w:name="_Toc16729"/>
      <w:bookmarkStart w:id="1" w:name="_Toc22824"/>
      <w:bookmarkStart w:id="2" w:name="_Toc21701"/>
      <w:bookmarkStart w:id="3" w:name="_Toc23661"/>
      <w:bookmarkStart w:id="4" w:name="_Toc24258"/>
      <w:r>
        <w:rPr>
          <w:rFonts w:hint="eastAsia" w:hAnsi="宋体"/>
          <w:b/>
          <w:bCs/>
          <w:sz w:val="24"/>
          <w:szCs w:val="24"/>
          <w:highlight w:val="none"/>
          <w:lang w:val="en-US" w:eastAsia="zh-CN"/>
        </w:rPr>
        <w:t>一、</w:t>
      </w:r>
      <w:r>
        <w:rPr>
          <w:rFonts w:hint="eastAsia" w:hAnsi="宋体"/>
          <w:b/>
          <w:bCs/>
          <w:sz w:val="24"/>
          <w:szCs w:val="24"/>
          <w:highlight w:val="none"/>
        </w:rPr>
        <w:t>履约地点</w:t>
      </w:r>
      <w:bookmarkEnd w:id="0"/>
      <w:bookmarkEnd w:id="1"/>
      <w:bookmarkEnd w:id="2"/>
      <w:bookmarkEnd w:id="3"/>
      <w:bookmarkEnd w:id="4"/>
    </w:p>
    <w:p>
      <w:pPr>
        <w:pStyle w:val="2"/>
        <w:tabs>
          <w:tab w:val="left" w:pos="0"/>
        </w:tabs>
        <w:spacing w:after="0" w:line="520" w:lineRule="exact"/>
        <w:ind w:firstLine="480" w:firstLineChars="200"/>
        <w:rPr>
          <w:rFonts w:hint="eastAsia" w:hAnsi="宋体"/>
          <w:color w:val="auto"/>
          <w:sz w:val="24"/>
          <w:szCs w:val="24"/>
          <w:highlight w:val="none"/>
        </w:rPr>
      </w:pPr>
      <w:r>
        <w:rPr>
          <w:rFonts w:hint="eastAsia" w:hAnsi="宋体"/>
          <w:color w:val="auto"/>
          <w:sz w:val="24"/>
          <w:szCs w:val="24"/>
          <w:highlight w:val="none"/>
        </w:rPr>
        <w:t>履约地点：宜宾市第二人民医院，具体以采购人指定地点为准。</w:t>
      </w:r>
      <w:bookmarkStart w:id="5" w:name="_Toc32002"/>
      <w:bookmarkStart w:id="6" w:name="_Toc29288"/>
      <w:bookmarkStart w:id="7" w:name="_Toc18637"/>
    </w:p>
    <w:p>
      <w:pPr>
        <w:tabs>
          <w:tab w:val="left" w:pos="312"/>
        </w:tabs>
        <w:spacing w:line="520" w:lineRule="exact"/>
        <w:outlineLvl w:val="2"/>
        <w:rPr>
          <w:rFonts w:hint="eastAsia" w:hAnsi="宋体"/>
          <w:b/>
          <w:bCs/>
          <w:sz w:val="24"/>
          <w:szCs w:val="24"/>
          <w:highlight w:val="none"/>
          <w:lang w:eastAsia="zh-CN"/>
        </w:rPr>
      </w:pPr>
      <w:r>
        <w:rPr>
          <w:rFonts w:hint="eastAsia" w:hAnsi="宋体"/>
          <w:b/>
          <w:bCs/>
          <w:sz w:val="24"/>
          <w:szCs w:val="24"/>
          <w:highlight w:val="none"/>
          <w:lang w:val="en-US" w:eastAsia="zh-CN"/>
        </w:rPr>
        <w:t>二、</w:t>
      </w:r>
      <w:r>
        <w:rPr>
          <w:rFonts w:hint="eastAsia" w:hAnsi="宋体"/>
          <w:b/>
          <w:bCs/>
          <w:sz w:val="24"/>
          <w:szCs w:val="24"/>
          <w:highlight w:val="none"/>
          <w:lang w:eastAsia="zh-CN"/>
        </w:rPr>
        <w:t>履约时间</w:t>
      </w:r>
    </w:p>
    <w:p>
      <w:pPr>
        <w:pStyle w:val="2"/>
        <w:tabs>
          <w:tab w:val="left" w:pos="0"/>
        </w:tabs>
        <w:spacing w:after="0" w:line="520" w:lineRule="exact"/>
        <w:ind w:firstLine="480" w:firstLineChars="200"/>
        <w:rPr>
          <w:rFonts w:hint="eastAsia" w:hAnsi="宋体"/>
          <w:color w:val="000000"/>
          <w:sz w:val="24"/>
          <w:szCs w:val="24"/>
          <w:lang w:val="en-US" w:eastAsia="zh-CN"/>
        </w:rPr>
      </w:pPr>
      <w:r>
        <w:rPr>
          <w:rFonts w:hint="eastAsia" w:hAnsi="宋体"/>
          <w:color w:val="000000"/>
          <w:sz w:val="24"/>
          <w:szCs w:val="24"/>
          <w:lang w:val="en-US" w:eastAsia="zh-CN"/>
        </w:rPr>
        <w:t>履约时间: 一年。</w:t>
      </w:r>
    </w:p>
    <w:p>
      <w:pPr>
        <w:tabs>
          <w:tab w:val="left" w:pos="312"/>
        </w:tabs>
        <w:spacing w:line="520" w:lineRule="exact"/>
        <w:jc w:val="left"/>
        <w:outlineLvl w:val="2"/>
        <w:rPr>
          <w:rFonts w:hint="eastAsia" w:hAnsi="宋体" w:eastAsiaTheme="minorEastAsia"/>
          <w:b/>
          <w:bCs/>
          <w:sz w:val="24"/>
          <w:szCs w:val="24"/>
          <w:highlight w:val="none"/>
          <w:lang w:val="en-US" w:eastAsia="zh-CN"/>
        </w:rPr>
      </w:pPr>
      <w:bookmarkStart w:id="8" w:name="_Toc18020"/>
      <w:r>
        <w:rPr>
          <w:rFonts w:hint="eastAsia" w:hAnsi="宋体"/>
          <w:b/>
          <w:bCs/>
          <w:sz w:val="24"/>
          <w:szCs w:val="24"/>
          <w:highlight w:val="none"/>
          <w:lang w:val="en-US" w:eastAsia="zh-CN"/>
        </w:rPr>
        <w:t>三、</w:t>
      </w:r>
      <w:r>
        <w:rPr>
          <w:rFonts w:hint="eastAsia" w:hAnsi="宋体"/>
          <w:b/>
          <w:bCs/>
          <w:sz w:val="24"/>
          <w:szCs w:val="24"/>
          <w:highlight w:val="none"/>
        </w:rPr>
        <w:t>付款</w:t>
      </w:r>
      <w:bookmarkEnd w:id="5"/>
      <w:bookmarkEnd w:id="6"/>
      <w:bookmarkEnd w:id="7"/>
      <w:bookmarkEnd w:id="8"/>
      <w:r>
        <w:rPr>
          <w:rFonts w:hint="eastAsia" w:hAnsi="宋体"/>
          <w:b/>
          <w:bCs/>
          <w:sz w:val="24"/>
          <w:szCs w:val="24"/>
          <w:highlight w:val="none"/>
          <w:lang w:val="en-US" w:eastAsia="zh-CN"/>
        </w:rPr>
        <w:t>方式</w:t>
      </w:r>
    </w:p>
    <w:p>
      <w:pPr>
        <w:pStyle w:val="37"/>
        <w:numPr>
          <w:ilvl w:val="1"/>
          <w:numId w:val="0"/>
        </w:numPr>
        <w:spacing w:line="520" w:lineRule="exact"/>
        <w:ind w:firstLine="480" w:firstLineChars="200"/>
        <w:outlineLvl w:val="9"/>
        <w:rPr>
          <w:rFonts w:hint="default"/>
          <w:b w:val="0"/>
          <w:bCs/>
          <w:color w:val="auto"/>
          <w:sz w:val="24"/>
          <w:szCs w:val="24"/>
          <w:highlight w:val="none"/>
          <w:lang w:val="en-US" w:eastAsia="zh-CN"/>
        </w:rPr>
      </w:pPr>
      <w:r>
        <w:rPr>
          <w:rFonts w:hint="default"/>
          <w:b w:val="0"/>
          <w:bCs/>
          <w:color w:val="auto"/>
          <w:sz w:val="24"/>
          <w:szCs w:val="24"/>
          <w:highlight w:val="none"/>
          <w:lang w:val="en-US" w:eastAsia="zh-CN"/>
        </w:rPr>
        <w:t>服务费按年支付，采用后付费方式。服务满一年并收到服务供应商年度服务报告和发票，经验收合格后，支付年度服务费。</w:t>
      </w:r>
    </w:p>
    <w:p>
      <w:pPr>
        <w:pStyle w:val="37"/>
        <w:numPr>
          <w:ilvl w:val="1"/>
          <w:numId w:val="0"/>
        </w:numPr>
        <w:spacing w:line="520" w:lineRule="exact"/>
        <w:outlineLvl w:val="9"/>
        <w:rPr>
          <w:rFonts w:hint="eastAsia"/>
          <w:b/>
          <w:bCs/>
          <w:sz w:val="24"/>
          <w:szCs w:val="24"/>
          <w:highlight w:val="none"/>
          <w:lang w:eastAsia="zh-CN"/>
        </w:rPr>
      </w:pPr>
      <w:r>
        <w:rPr>
          <w:rFonts w:hint="eastAsia"/>
          <w:b/>
          <w:bCs/>
          <w:sz w:val="24"/>
          <w:szCs w:val="24"/>
          <w:highlight w:val="none"/>
          <w:lang w:val="en-US" w:eastAsia="zh-CN"/>
        </w:rPr>
        <w:t>四、</w:t>
      </w:r>
      <w:r>
        <w:rPr>
          <w:rFonts w:hint="eastAsia"/>
          <w:b/>
          <w:bCs/>
          <w:sz w:val="24"/>
          <w:szCs w:val="24"/>
          <w:highlight w:val="none"/>
          <w:lang w:eastAsia="zh-CN"/>
        </w:rPr>
        <w:t>服务要求</w:t>
      </w:r>
    </w:p>
    <w:p>
      <w:pPr>
        <w:pStyle w:val="37"/>
        <w:numPr>
          <w:ilvl w:val="1"/>
          <w:numId w:val="0"/>
        </w:numPr>
        <w:spacing w:line="520" w:lineRule="exact"/>
        <w:ind w:firstLine="480" w:firstLineChars="200"/>
        <w:outlineLvl w:val="9"/>
        <w:rPr>
          <w:rFonts w:hint="default"/>
          <w:b w:val="0"/>
          <w:bCs/>
          <w:color w:val="auto"/>
          <w:sz w:val="24"/>
          <w:szCs w:val="24"/>
          <w:highlight w:val="none"/>
          <w:lang w:val="en-US" w:eastAsia="zh-CN"/>
        </w:rPr>
      </w:pPr>
      <w:r>
        <w:rPr>
          <w:rFonts w:hint="eastAsia"/>
          <w:b w:val="0"/>
          <w:bCs/>
          <w:color w:val="auto"/>
          <w:sz w:val="24"/>
          <w:szCs w:val="24"/>
          <w:highlight w:val="none"/>
        </w:rPr>
        <w:t>1、</w:t>
      </w:r>
      <w:r>
        <w:rPr>
          <w:rFonts w:hint="default"/>
          <w:b w:val="0"/>
          <w:bCs/>
          <w:color w:val="auto"/>
          <w:sz w:val="24"/>
          <w:szCs w:val="24"/>
          <w:highlight w:val="none"/>
          <w:lang w:val="en-US" w:eastAsia="zh-CN"/>
        </w:rPr>
        <w:t>在资源具备，且</w:t>
      </w:r>
      <w:r>
        <w:rPr>
          <w:rFonts w:hint="eastAsia"/>
          <w:b w:val="0"/>
          <w:bCs/>
          <w:color w:val="auto"/>
          <w:sz w:val="24"/>
          <w:szCs w:val="24"/>
          <w:highlight w:val="none"/>
          <w:lang w:val="en-US" w:eastAsia="zh-CN"/>
        </w:rPr>
        <w:t>采购人</w:t>
      </w:r>
      <w:r>
        <w:rPr>
          <w:rFonts w:hint="default"/>
          <w:b w:val="0"/>
          <w:bCs/>
          <w:color w:val="auto"/>
          <w:sz w:val="24"/>
          <w:szCs w:val="24"/>
          <w:highlight w:val="none"/>
          <w:lang w:val="en-US" w:eastAsia="zh-CN"/>
        </w:rPr>
        <w:t>办理完毕相关业务受理手续后[三十]个工作日内，向</w:t>
      </w:r>
      <w:r>
        <w:rPr>
          <w:rFonts w:hint="eastAsia"/>
          <w:b w:val="0"/>
          <w:bCs/>
          <w:color w:val="auto"/>
          <w:sz w:val="24"/>
          <w:szCs w:val="24"/>
          <w:highlight w:val="none"/>
          <w:lang w:val="en-US" w:eastAsia="zh-CN"/>
        </w:rPr>
        <w:t>采购人</w:t>
      </w:r>
      <w:r>
        <w:rPr>
          <w:rFonts w:hint="default"/>
          <w:b w:val="0"/>
          <w:bCs/>
          <w:color w:val="auto"/>
          <w:sz w:val="24"/>
          <w:szCs w:val="24"/>
          <w:highlight w:val="none"/>
          <w:lang w:val="en-US" w:eastAsia="zh-CN"/>
        </w:rPr>
        <w:t>提供电路服务业务。</w:t>
      </w:r>
    </w:p>
    <w:p>
      <w:pPr>
        <w:pStyle w:val="37"/>
        <w:numPr>
          <w:ilvl w:val="1"/>
          <w:numId w:val="0"/>
        </w:numPr>
        <w:spacing w:line="520" w:lineRule="exact"/>
        <w:ind w:firstLine="480" w:firstLineChars="200"/>
        <w:outlineLvl w:val="9"/>
        <w:rPr>
          <w:rFonts w:hint="default"/>
          <w:b w:val="0"/>
          <w:bCs/>
          <w:color w:val="auto"/>
          <w:sz w:val="24"/>
          <w:szCs w:val="24"/>
          <w:highlight w:val="none"/>
          <w:lang w:val="en-US" w:eastAsia="zh-CN"/>
        </w:rPr>
      </w:pPr>
      <w:r>
        <w:rPr>
          <w:rFonts w:hint="eastAsia"/>
          <w:b w:val="0"/>
          <w:bCs/>
          <w:color w:val="auto"/>
          <w:sz w:val="24"/>
          <w:szCs w:val="24"/>
          <w:highlight w:val="none"/>
          <w:lang w:val="en-US" w:eastAsia="zh-CN"/>
        </w:rPr>
        <w:t>2、</w:t>
      </w:r>
      <w:r>
        <w:rPr>
          <w:rFonts w:hint="default"/>
          <w:b w:val="0"/>
          <w:bCs/>
          <w:color w:val="auto"/>
          <w:sz w:val="24"/>
          <w:szCs w:val="24"/>
          <w:highlight w:val="none"/>
          <w:lang w:val="en-US" w:eastAsia="zh-CN"/>
        </w:rPr>
        <w:t>由于</w:t>
      </w:r>
      <w:r>
        <w:rPr>
          <w:rFonts w:hint="eastAsia"/>
          <w:b w:val="0"/>
          <w:bCs/>
          <w:color w:val="auto"/>
          <w:sz w:val="24"/>
          <w:szCs w:val="24"/>
          <w:highlight w:val="none"/>
          <w:lang w:val="en-US" w:eastAsia="zh-CN"/>
        </w:rPr>
        <w:t>供应商</w:t>
      </w:r>
      <w:r>
        <w:rPr>
          <w:rFonts w:hint="default"/>
          <w:b w:val="0"/>
          <w:bCs/>
          <w:color w:val="auto"/>
          <w:sz w:val="24"/>
          <w:szCs w:val="24"/>
          <w:highlight w:val="none"/>
          <w:lang w:val="en-US" w:eastAsia="zh-CN"/>
        </w:rPr>
        <w:t>端口、线路资源暂未具备等原因而未及时开通电路服务的，</w:t>
      </w:r>
      <w:r>
        <w:rPr>
          <w:rFonts w:hint="eastAsia"/>
          <w:b w:val="0"/>
          <w:bCs/>
          <w:color w:val="auto"/>
          <w:sz w:val="24"/>
          <w:szCs w:val="24"/>
          <w:highlight w:val="none"/>
          <w:lang w:val="en-US" w:eastAsia="zh-CN"/>
        </w:rPr>
        <w:t>供应商</w:t>
      </w:r>
      <w:r>
        <w:rPr>
          <w:rFonts w:hint="default"/>
          <w:b w:val="0"/>
          <w:bCs/>
          <w:color w:val="auto"/>
          <w:sz w:val="24"/>
          <w:szCs w:val="24"/>
          <w:highlight w:val="none"/>
          <w:lang w:val="en-US" w:eastAsia="zh-CN"/>
        </w:rPr>
        <w:t>有责任协调相关部门尽快开通电路服务。</w:t>
      </w:r>
    </w:p>
    <w:p>
      <w:pPr>
        <w:pStyle w:val="37"/>
        <w:numPr>
          <w:ilvl w:val="1"/>
          <w:numId w:val="0"/>
        </w:numPr>
        <w:spacing w:line="520" w:lineRule="exact"/>
        <w:ind w:firstLine="480" w:firstLineChars="200"/>
        <w:outlineLvl w:val="9"/>
        <w:rPr>
          <w:rFonts w:hint="default"/>
          <w:b w:val="0"/>
          <w:bCs/>
          <w:color w:val="auto"/>
          <w:sz w:val="24"/>
          <w:szCs w:val="24"/>
          <w:highlight w:val="none"/>
          <w:lang w:val="en-US" w:eastAsia="zh-CN"/>
        </w:rPr>
      </w:pPr>
      <w:r>
        <w:rPr>
          <w:rFonts w:hint="eastAsia"/>
          <w:b w:val="0"/>
          <w:bCs/>
          <w:color w:val="auto"/>
          <w:sz w:val="24"/>
          <w:szCs w:val="24"/>
          <w:highlight w:val="none"/>
          <w:lang w:val="en-US" w:eastAsia="zh-CN"/>
        </w:rPr>
        <w:t>3、</w:t>
      </w:r>
      <w:r>
        <w:rPr>
          <w:rFonts w:hint="default"/>
          <w:b w:val="0"/>
          <w:bCs/>
          <w:color w:val="auto"/>
          <w:sz w:val="24"/>
          <w:szCs w:val="24"/>
          <w:highlight w:val="none"/>
          <w:lang w:val="en-US" w:eastAsia="zh-CN"/>
        </w:rPr>
        <w:t>在</w:t>
      </w:r>
      <w:r>
        <w:rPr>
          <w:rFonts w:hint="eastAsia"/>
          <w:b w:val="0"/>
          <w:bCs/>
          <w:color w:val="auto"/>
          <w:sz w:val="24"/>
          <w:szCs w:val="24"/>
          <w:highlight w:val="none"/>
          <w:lang w:val="en-US" w:eastAsia="zh-CN"/>
        </w:rPr>
        <w:t>采购人</w:t>
      </w:r>
      <w:r>
        <w:rPr>
          <w:rFonts w:hint="default"/>
          <w:b w:val="0"/>
          <w:bCs/>
          <w:color w:val="auto"/>
          <w:sz w:val="24"/>
          <w:szCs w:val="24"/>
          <w:highlight w:val="none"/>
          <w:lang w:val="en-US" w:eastAsia="zh-CN"/>
        </w:rPr>
        <w:t>给予必要的协助和配合下，依据相关规程和规范以及本合同约定提供电路维护服务，并及时修复通信障碍，保证通信畅通。</w:t>
      </w:r>
    </w:p>
    <w:p>
      <w:pPr>
        <w:pStyle w:val="37"/>
        <w:numPr>
          <w:ilvl w:val="1"/>
          <w:numId w:val="0"/>
        </w:numPr>
        <w:spacing w:line="520" w:lineRule="exact"/>
        <w:ind w:firstLine="480" w:firstLineChars="200"/>
        <w:outlineLvl w:val="9"/>
        <w:rPr>
          <w:rFonts w:hint="default"/>
          <w:b w:val="0"/>
          <w:bCs/>
          <w:color w:val="auto"/>
          <w:sz w:val="24"/>
          <w:szCs w:val="24"/>
          <w:highlight w:val="none"/>
          <w:lang w:val="en-US" w:eastAsia="zh-CN"/>
        </w:rPr>
      </w:pPr>
      <w:r>
        <w:rPr>
          <w:rFonts w:hint="eastAsia"/>
          <w:b w:val="0"/>
          <w:bCs/>
          <w:color w:val="auto"/>
          <w:sz w:val="24"/>
          <w:szCs w:val="24"/>
          <w:highlight w:val="none"/>
          <w:lang w:val="en-US" w:eastAsia="zh-CN"/>
        </w:rPr>
        <w:t>4、供应商</w:t>
      </w:r>
      <w:r>
        <w:rPr>
          <w:rFonts w:hint="default"/>
          <w:b w:val="0"/>
          <w:bCs/>
          <w:color w:val="auto"/>
          <w:sz w:val="24"/>
          <w:szCs w:val="24"/>
          <w:highlight w:val="none"/>
          <w:lang w:val="en-US" w:eastAsia="zh-CN"/>
        </w:rPr>
        <w:t>所提供电路维护服务的责任界面按照国家法律法规公布的维护规程明确。具体以</w:t>
      </w:r>
      <w:r>
        <w:rPr>
          <w:rFonts w:hint="eastAsia"/>
          <w:b w:val="0"/>
          <w:bCs/>
          <w:color w:val="auto"/>
          <w:sz w:val="24"/>
          <w:szCs w:val="24"/>
          <w:highlight w:val="none"/>
          <w:lang w:val="en-US" w:eastAsia="zh-CN"/>
        </w:rPr>
        <w:t>采购人</w:t>
      </w:r>
      <w:r>
        <w:rPr>
          <w:rFonts w:hint="default"/>
          <w:b w:val="0"/>
          <w:bCs/>
          <w:color w:val="auto"/>
          <w:sz w:val="24"/>
          <w:szCs w:val="24"/>
          <w:highlight w:val="none"/>
          <w:lang w:val="en-US" w:eastAsia="zh-CN"/>
        </w:rPr>
        <w:t>机房的设备为界,设备以外线路侧由</w:t>
      </w:r>
      <w:r>
        <w:rPr>
          <w:rFonts w:hint="eastAsia"/>
          <w:b w:val="0"/>
          <w:bCs/>
          <w:color w:val="auto"/>
          <w:sz w:val="24"/>
          <w:szCs w:val="24"/>
          <w:highlight w:val="none"/>
          <w:lang w:val="en-US" w:eastAsia="zh-CN"/>
        </w:rPr>
        <w:t>供应商</w:t>
      </w:r>
      <w:r>
        <w:rPr>
          <w:rFonts w:hint="default"/>
          <w:b w:val="0"/>
          <w:bCs/>
          <w:color w:val="auto"/>
          <w:sz w:val="24"/>
          <w:szCs w:val="24"/>
          <w:highlight w:val="none"/>
          <w:lang w:val="en-US" w:eastAsia="zh-CN"/>
        </w:rPr>
        <w:t>提供维护管理服务，另一侧（设备侧）由</w:t>
      </w:r>
      <w:r>
        <w:rPr>
          <w:rFonts w:hint="eastAsia"/>
          <w:b w:val="0"/>
          <w:bCs/>
          <w:color w:val="auto"/>
          <w:sz w:val="24"/>
          <w:szCs w:val="24"/>
          <w:highlight w:val="none"/>
          <w:lang w:val="en-US" w:eastAsia="zh-CN"/>
        </w:rPr>
        <w:t>采购人</w:t>
      </w:r>
      <w:r>
        <w:rPr>
          <w:rFonts w:hint="default"/>
          <w:b w:val="0"/>
          <w:bCs/>
          <w:color w:val="auto"/>
          <w:sz w:val="24"/>
          <w:szCs w:val="24"/>
          <w:highlight w:val="none"/>
          <w:lang w:val="en-US" w:eastAsia="zh-CN"/>
        </w:rPr>
        <w:t>负责维护管理。</w:t>
      </w:r>
      <w:bookmarkStart w:id="9" w:name="_GoBack"/>
      <w:bookmarkEnd w:id="9"/>
    </w:p>
    <w:p>
      <w:pPr>
        <w:pStyle w:val="37"/>
        <w:numPr>
          <w:ilvl w:val="1"/>
          <w:numId w:val="0"/>
        </w:numPr>
        <w:spacing w:line="520" w:lineRule="exact"/>
        <w:outlineLvl w:val="9"/>
        <w:rPr>
          <w:rFonts w:hint="eastAsia" w:hAnsi="宋体"/>
          <w:b/>
          <w:bCs/>
          <w:sz w:val="24"/>
          <w:szCs w:val="24"/>
          <w:highlight w:val="none"/>
          <w:lang w:val="en-US" w:eastAsia="zh-CN"/>
        </w:rPr>
      </w:pPr>
      <w:r>
        <w:rPr>
          <w:rFonts w:hint="eastAsia"/>
          <w:b/>
          <w:bCs/>
          <w:sz w:val="24"/>
          <w:szCs w:val="24"/>
          <w:highlight w:val="none"/>
          <w:lang w:val="en-US" w:eastAsia="zh-CN"/>
        </w:rPr>
        <w:t>五、</w:t>
      </w:r>
      <w:r>
        <w:rPr>
          <w:rFonts w:hint="eastAsia" w:hAnsi="宋体"/>
          <w:b/>
          <w:bCs/>
          <w:sz w:val="24"/>
          <w:szCs w:val="24"/>
          <w:highlight w:val="none"/>
          <w:lang w:val="en-US" w:eastAsia="zh-CN"/>
        </w:rPr>
        <w:t>违约责任</w:t>
      </w:r>
    </w:p>
    <w:p>
      <w:pPr>
        <w:pStyle w:val="37"/>
        <w:numPr>
          <w:ilvl w:val="1"/>
          <w:numId w:val="0"/>
        </w:numPr>
        <w:spacing w:line="520" w:lineRule="exact"/>
        <w:ind w:firstLine="480" w:firstLineChars="200"/>
        <w:outlineLvl w:val="9"/>
        <w:rPr>
          <w:rFonts w:hint="default" w:hAnsi="宋体"/>
          <w:b w:val="0"/>
          <w:bCs/>
          <w:color w:val="auto"/>
          <w:sz w:val="24"/>
          <w:szCs w:val="24"/>
          <w:highlight w:val="none"/>
          <w:lang w:val="en-US" w:eastAsia="zh-CN"/>
        </w:rPr>
      </w:pPr>
      <w:r>
        <w:rPr>
          <w:rFonts w:hint="default" w:hAnsi="宋体"/>
          <w:b w:val="0"/>
          <w:bCs/>
          <w:color w:val="auto"/>
          <w:sz w:val="24"/>
          <w:szCs w:val="24"/>
          <w:highlight w:val="none"/>
          <w:lang w:val="en-US" w:eastAsia="zh-CN"/>
        </w:rPr>
        <w:t>1</w:t>
      </w:r>
      <w:r>
        <w:rPr>
          <w:rFonts w:hint="eastAsia" w:hAnsi="宋体"/>
          <w:b w:val="0"/>
          <w:bCs/>
          <w:color w:val="auto"/>
          <w:sz w:val="24"/>
          <w:szCs w:val="24"/>
          <w:highlight w:val="none"/>
          <w:lang w:val="en-US" w:eastAsia="zh-CN"/>
        </w:rPr>
        <w:t>、成交供应商</w:t>
      </w:r>
      <w:r>
        <w:rPr>
          <w:rFonts w:hint="default" w:hAnsi="宋体"/>
          <w:b w:val="0"/>
          <w:bCs/>
          <w:color w:val="auto"/>
          <w:sz w:val="24"/>
          <w:szCs w:val="24"/>
          <w:highlight w:val="none"/>
          <w:lang w:val="en-US" w:eastAsia="zh-CN"/>
        </w:rPr>
        <w:t>必须遵守合同并执行合同中的各项规定，保证合同的正常履行。</w:t>
      </w:r>
    </w:p>
    <w:p>
      <w:pPr>
        <w:pStyle w:val="37"/>
        <w:numPr>
          <w:ilvl w:val="1"/>
          <w:numId w:val="0"/>
        </w:numPr>
        <w:spacing w:line="520" w:lineRule="exact"/>
        <w:ind w:firstLine="480" w:firstLineChars="200"/>
        <w:outlineLvl w:val="9"/>
        <w:rPr>
          <w:rFonts w:hint="default" w:hAnsi="宋体"/>
          <w:b w:val="0"/>
          <w:bCs/>
          <w:color w:val="auto"/>
          <w:sz w:val="24"/>
          <w:szCs w:val="24"/>
          <w:highlight w:val="none"/>
          <w:lang w:val="en-US" w:eastAsia="zh-CN"/>
        </w:rPr>
      </w:pPr>
      <w:r>
        <w:rPr>
          <w:rFonts w:hint="default" w:hAnsi="宋体"/>
          <w:b w:val="0"/>
          <w:bCs/>
          <w:color w:val="auto"/>
          <w:sz w:val="24"/>
          <w:szCs w:val="24"/>
          <w:highlight w:val="none"/>
          <w:lang w:val="en-US" w:eastAsia="zh-CN"/>
        </w:rPr>
        <w:t>2</w:t>
      </w:r>
      <w:r>
        <w:rPr>
          <w:rFonts w:hint="eastAsia" w:hAnsi="宋体"/>
          <w:b w:val="0"/>
          <w:bCs/>
          <w:color w:val="auto"/>
          <w:sz w:val="24"/>
          <w:szCs w:val="24"/>
          <w:highlight w:val="none"/>
          <w:lang w:val="en-US" w:eastAsia="zh-CN"/>
        </w:rPr>
        <w:t>、</w:t>
      </w:r>
      <w:r>
        <w:rPr>
          <w:rFonts w:hint="default" w:hAnsi="宋体"/>
          <w:b w:val="0"/>
          <w:bCs/>
          <w:color w:val="auto"/>
          <w:sz w:val="24"/>
          <w:szCs w:val="24"/>
          <w:highlight w:val="none"/>
          <w:lang w:val="en-US" w:eastAsia="zh-CN"/>
        </w:rPr>
        <w:t>如因</w:t>
      </w:r>
      <w:r>
        <w:rPr>
          <w:rFonts w:hint="eastAsia" w:hAnsi="宋体"/>
          <w:b w:val="0"/>
          <w:bCs/>
          <w:color w:val="auto"/>
          <w:sz w:val="24"/>
          <w:szCs w:val="24"/>
          <w:highlight w:val="none"/>
          <w:lang w:val="en-US" w:eastAsia="zh-CN"/>
        </w:rPr>
        <w:t>成交供应商</w:t>
      </w:r>
      <w:r>
        <w:rPr>
          <w:rFonts w:hint="default" w:hAnsi="宋体"/>
          <w:b w:val="0"/>
          <w:bCs/>
          <w:color w:val="auto"/>
          <w:sz w:val="24"/>
          <w:szCs w:val="24"/>
          <w:highlight w:val="none"/>
          <w:lang w:val="en-US" w:eastAsia="zh-CN"/>
        </w:rPr>
        <w:t>工作人员在履行职务过程中的疏忽、失职、过错等故意或者过失原因给</w:t>
      </w:r>
      <w:r>
        <w:rPr>
          <w:rFonts w:hint="eastAsia" w:hAnsi="宋体"/>
          <w:b w:val="0"/>
          <w:bCs/>
          <w:color w:val="auto"/>
          <w:sz w:val="24"/>
          <w:szCs w:val="24"/>
          <w:highlight w:val="none"/>
          <w:lang w:val="en-US" w:eastAsia="zh-CN"/>
        </w:rPr>
        <w:t>采购人</w:t>
      </w:r>
      <w:r>
        <w:rPr>
          <w:rFonts w:hint="default" w:hAnsi="宋体"/>
          <w:b w:val="0"/>
          <w:bCs/>
          <w:color w:val="auto"/>
          <w:sz w:val="24"/>
          <w:szCs w:val="24"/>
          <w:highlight w:val="none"/>
          <w:lang w:val="en-US" w:eastAsia="zh-CN"/>
        </w:rPr>
        <w:t>造成损失或侵害，包括但不限于</w:t>
      </w:r>
      <w:r>
        <w:rPr>
          <w:rFonts w:hint="eastAsia" w:hAnsi="宋体"/>
          <w:b w:val="0"/>
          <w:bCs/>
          <w:color w:val="auto"/>
          <w:sz w:val="24"/>
          <w:szCs w:val="24"/>
          <w:highlight w:val="none"/>
          <w:lang w:val="en-US" w:eastAsia="zh-CN"/>
        </w:rPr>
        <w:t>采购人</w:t>
      </w:r>
      <w:r>
        <w:rPr>
          <w:rFonts w:hint="default" w:hAnsi="宋体"/>
          <w:b w:val="0"/>
          <w:bCs/>
          <w:color w:val="auto"/>
          <w:sz w:val="24"/>
          <w:szCs w:val="24"/>
          <w:highlight w:val="none"/>
          <w:lang w:val="en-US" w:eastAsia="zh-CN"/>
        </w:rPr>
        <w:t>本身的财产损失、由此而导致的</w:t>
      </w:r>
      <w:r>
        <w:rPr>
          <w:rFonts w:hint="eastAsia" w:hAnsi="宋体"/>
          <w:b w:val="0"/>
          <w:bCs/>
          <w:color w:val="auto"/>
          <w:sz w:val="24"/>
          <w:szCs w:val="24"/>
          <w:highlight w:val="none"/>
          <w:lang w:val="en-US" w:eastAsia="zh-CN"/>
        </w:rPr>
        <w:t>采购人</w:t>
      </w:r>
      <w:r>
        <w:rPr>
          <w:rFonts w:hint="default" w:hAnsi="宋体"/>
          <w:b w:val="0"/>
          <w:bCs/>
          <w:color w:val="auto"/>
          <w:sz w:val="24"/>
          <w:szCs w:val="24"/>
          <w:highlight w:val="none"/>
          <w:lang w:val="en-US" w:eastAsia="zh-CN"/>
        </w:rPr>
        <w:t>对任何第三方的法律责任等，</w:t>
      </w:r>
      <w:r>
        <w:rPr>
          <w:rFonts w:hint="eastAsia" w:hAnsi="宋体"/>
          <w:b w:val="0"/>
          <w:bCs/>
          <w:color w:val="auto"/>
          <w:sz w:val="24"/>
          <w:szCs w:val="24"/>
          <w:highlight w:val="none"/>
          <w:lang w:val="en-US" w:eastAsia="zh-CN"/>
        </w:rPr>
        <w:t>成交供应商</w:t>
      </w:r>
      <w:r>
        <w:rPr>
          <w:rFonts w:hint="default" w:hAnsi="宋体"/>
          <w:b w:val="0"/>
          <w:bCs/>
          <w:color w:val="auto"/>
          <w:sz w:val="24"/>
          <w:szCs w:val="24"/>
          <w:highlight w:val="none"/>
          <w:lang w:val="en-US" w:eastAsia="zh-CN"/>
        </w:rPr>
        <w:t>对此均应承担全部的赔偿责任。</w:t>
      </w:r>
    </w:p>
    <w:p>
      <w:pPr>
        <w:pStyle w:val="37"/>
        <w:numPr>
          <w:ilvl w:val="1"/>
          <w:numId w:val="0"/>
        </w:numPr>
        <w:spacing w:line="520" w:lineRule="exact"/>
        <w:ind w:firstLine="480" w:firstLineChars="200"/>
        <w:outlineLvl w:val="9"/>
        <w:rPr>
          <w:rFonts w:hint="default" w:hAnsi="宋体"/>
          <w:b w:val="0"/>
          <w:bCs/>
          <w:color w:val="auto"/>
          <w:sz w:val="24"/>
          <w:szCs w:val="24"/>
          <w:highlight w:val="none"/>
          <w:lang w:val="en-US" w:eastAsia="zh-CN"/>
        </w:rPr>
      </w:pPr>
      <w:r>
        <w:rPr>
          <w:rFonts w:hint="default" w:hAnsi="宋体"/>
          <w:b w:val="0"/>
          <w:bCs/>
          <w:color w:val="auto"/>
          <w:sz w:val="24"/>
          <w:szCs w:val="24"/>
          <w:highlight w:val="none"/>
          <w:lang w:val="en-US" w:eastAsia="zh-CN"/>
        </w:rPr>
        <w:t>3</w:t>
      </w:r>
      <w:r>
        <w:rPr>
          <w:rFonts w:hint="eastAsia" w:hAnsi="宋体"/>
          <w:b w:val="0"/>
          <w:bCs/>
          <w:color w:val="auto"/>
          <w:sz w:val="24"/>
          <w:szCs w:val="24"/>
          <w:highlight w:val="none"/>
          <w:lang w:val="en-US" w:eastAsia="zh-CN"/>
        </w:rPr>
        <w:t>、成交供应商</w:t>
      </w:r>
      <w:r>
        <w:rPr>
          <w:rFonts w:hint="default" w:hAnsi="宋体"/>
          <w:b w:val="0"/>
          <w:bCs/>
          <w:color w:val="auto"/>
          <w:sz w:val="24"/>
          <w:szCs w:val="24"/>
          <w:highlight w:val="none"/>
          <w:lang w:val="en-US" w:eastAsia="zh-CN"/>
        </w:rPr>
        <w:t>不能按时提供服务(成果)或逾期提供的而违约的，除应及时提供服务外，应向</w:t>
      </w:r>
      <w:r>
        <w:rPr>
          <w:rFonts w:hint="eastAsia" w:hAnsi="宋体"/>
          <w:b w:val="0"/>
          <w:bCs/>
          <w:color w:val="auto"/>
          <w:sz w:val="24"/>
          <w:szCs w:val="24"/>
          <w:highlight w:val="none"/>
          <w:lang w:val="en-US" w:eastAsia="zh-CN"/>
        </w:rPr>
        <w:t>采购人</w:t>
      </w:r>
      <w:r>
        <w:rPr>
          <w:rFonts w:hint="default" w:hAnsi="宋体"/>
          <w:b w:val="0"/>
          <w:bCs/>
          <w:color w:val="auto"/>
          <w:sz w:val="24"/>
          <w:szCs w:val="24"/>
          <w:highlight w:val="none"/>
          <w:lang w:val="en-US" w:eastAsia="zh-CN"/>
        </w:rPr>
        <w:t>偿付逾期提供部分服务总额的万分之十/天的违约金；逾期超过15天，</w:t>
      </w:r>
      <w:r>
        <w:rPr>
          <w:rFonts w:hint="eastAsia" w:hAnsi="宋体"/>
          <w:b w:val="0"/>
          <w:bCs/>
          <w:color w:val="auto"/>
          <w:sz w:val="24"/>
          <w:szCs w:val="24"/>
          <w:highlight w:val="none"/>
          <w:lang w:val="en-US" w:eastAsia="zh-CN"/>
        </w:rPr>
        <w:t>采购人</w:t>
      </w:r>
      <w:r>
        <w:rPr>
          <w:rFonts w:hint="default" w:hAnsi="宋体"/>
          <w:b w:val="0"/>
          <w:bCs/>
          <w:color w:val="auto"/>
          <w:sz w:val="24"/>
          <w:szCs w:val="24"/>
          <w:highlight w:val="none"/>
          <w:lang w:val="en-US" w:eastAsia="zh-CN"/>
        </w:rPr>
        <w:t>有权终止合同，</w:t>
      </w:r>
      <w:r>
        <w:rPr>
          <w:rFonts w:hint="eastAsia" w:hAnsi="宋体"/>
          <w:b w:val="0"/>
          <w:bCs/>
          <w:color w:val="auto"/>
          <w:sz w:val="24"/>
          <w:szCs w:val="24"/>
          <w:highlight w:val="none"/>
          <w:lang w:val="en-US" w:eastAsia="zh-CN"/>
        </w:rPr>
        <w:t>成交供应商</w:t>
      </w:r>
      <w:r>
        <w:rPr>
          <w:rFonts w:hint="default" w:hAnsi="宋体"/>
          <w:b w:val="0"/>
          <w:bCs/>
          <w:color w:val="auto"/>
          <w:sz w:val="24"/>
          <w:szCs w:val="24"/>
          <w:highlight w:val="none"/>
          <w:lang w:val="en-US" w:eastAsia="zh-CN"/>
        </w:rPr>
        <w:t>则应按合同总价的百分之一的款额向</w:t>
      </w:r>
      <w:r>
        <w:rPr>
          <w:rFonts w:hint="eastAsia" w:hAnsi="宋体"/>
          <w:b w:val="0"/>
          <w:bCs/>
          <w:color w:val="auto"/>
          <w:sz w:val="24"/>
          <w:szCs w:val="24"/>
          <w:highlight w:val="none"/>
          <w:lang w:val="en-US" w:eastAsia="zh-CN"/>
        </w:rPr>
        <w:t>采购人</w:t>
      </w:r>
      <w:r>
        <w:rPr>
          <w:rFonts w:hint="default" w:hAnsi="宋体"/>
          <w:b w:val="0"/>
          <w:bCs/>
          <w:color w:val="auto"/>
          <w:sz w:val="24"/>
          <w:szCs w:val="24"/>
          <w:highlight w:val="none"/>
          <w:lang w:val="en-US" w:eastAsia="zh-CN"/>
        </w:rPr>
        <w:t>偿付违约金，并须全额退还</w:t>
      </w:r>
      <w:r>
        <w:rPr>
          <w:rFonts w:hint="eastAsia" w:hAnsi="宋体"/>
          <w:b w:val="0"/>
          <w:bCs/>
          <w:color w:val="auto"/>
          <w:sz w:val="24"/>
          <w:szCs w:val="24"/>
          <w:highlight w:val="none"/>
          <w:lang w:val="en-US" w:eastAsia="zh-CN"/>
        </w:rPr>
        <w:t>采购人</w:t>
      </w:r>
      <w:r>
        <w:rPr>
          <w:rFonts w:hint="default" w:hAnsi="宋体"/>
          <w:b w:val="0"/>
          <w:bCs/>
          <w:color w:val="auto"/>
          <w:sz w:val="24"/>
          <w:szCs w:val="24"/>
          <w:highlight w:val="none"/>
          <w:lang w:val="en-US" w:eastAsia="zh-CN"/>
        </w:rPr>
        <w:t>已经付给</w:t>
      </w:r>
      <w:r>
        <w:rPr>
          <w:rFonts w:hint="eastAsia" w:hAnsi="宋体"/>
          <w:b w:val="0"/>
          <w:bCs/>
          <w:color w:val="auto"/>
          <w:sz w:val="24"/>
          <w:szCs w:val="24"/>
          <w:highlight w:val="none"/>
          <w:lang w:val="en-US" w:eastAsia="zh-CN"/>
        </w:rPr>
        <w:t>成交供应商</w:t>
      </w:r>
      <w:r>
        <w:rPr>
          <w:rFonts w:hint="default" w:hAnsi="宋体"/>
          <w:b w:val="0"/>
          <w:bCs/>
          <w:color w:val="auto"/>
          <w:sz w:val="24"/>
          <w:szCs w:val="24"/>
          <w:highlight w:val="none"/>
          <w:lang w:val="en-US" w:eastAsia="zh-CN"/>
        </w:rPr>
        <w:t>的服务费及其利息。</w:t>
      </w:r>
    </w:p>
    <w:p>
      <w:pPr>
        <w:pStyle w:val="37"/>
        <w:numPr>
          <w:ilvl w:val="1"/>
          <w:numId w:val="0"/>
        </w:numPr>
        <w:spacing w:line="520" w:lineRule="exact"/>
        <w:ind w:firstLine="480" w:firstLineChars="200"/>
        <w:outlineLvl w:val="9"/>
        <w:rPr>
          <w:rFonts w:hint="default" w:hAnsi="宋体"/>
          <w:b w:val="0"/>
          <w:bCs/>
          <w:color w:val="auto"/>
          <w:sz w:val="24"/>
          <w:szCs w:val="24"/>
          <w:highlight w:val="none"/>
          <w:lang w:val="en-US" w:eastAsia="zh-CN"/>
        </w:rPr>
      </w:pPr>
      <w:r>
        <w:rPr>
          <w:rFonts w:hint="default" w:hAnsi="宋体"/>
          <w:b w:val="0"/>
          <w:bCs/>
          <w:color w:val="auto"/>
          <w:sz w:val="24"/>
          <w:szCs w:val="24"/>
          <w:highlight w:val="none"/>
          <w:lang w:val="en-US" w:eastAsia="zh-CN"/>
        </w:rPr>
        <w:t>4</w:t>
      </w:r>
      <w:r>
        <w:rPr>
          <w:rFonts w:hint="eastAsia" w:hAnsi="宋体"/>
          <w:b w:val="0"/>
          <w:bCs/>
          <w:color w:val="auto"/>
          <w:sz w:val="24"/>
          <w:szCs w:val="24"/>
          <w:highlight w:val="none"/>
          <w:lang w:val="en-US" w:eastAsia="zh-CN"/>
        </w:rPr>
        <w:t>、成交供应商</w:t>
      </w:r>
      <w:r>
        <w:rPr>
          <w:rFonts w:hint="default" w:hAnsi="宋体"/>
          <w:b w:val="0"/>
          <w:bCs/>
          <w:color w:val="auto"/>
          <w:sz w:val="24"/>
          <w:szCs w:val="24"/>
          <w:highlight w:val="none"/>
          <w:lang w:val="en-US" w:eastAsia="zh-CN"/>
        </w:rPr>
        <w:t>在履约过程中，服务经</w:t>
      </w:r>
      <w:r>
        <w:rPr>
          <w:rFonts w:hint="eastAsia" w:hAnsi="宋体"/>
          <w:b w:val="0"/>
          <w:bCs/>
          <w:color w:val="auto"/>
          <w:sz w:val="24"/>
          <w:szCs w:val="24"/>
          <w:highlight w:val="none"/>
          <w:lang w:val="en-US" w:eastAsia="zh-CN"/>
        </w:rPr>
        <w:t>采购人</w:t>
      </w:r>
      <w:r>
        <w:rPr>
          <w:rFonts w:hint="default" w:hAnsi="宋体"/>
          <w:b w:val="0"/>
          <w:bCs/>
          <w:color w:val="auto"/>
          <w:sz w:val="24"/>
          <w:szCs w:val="24"/>
          <w:highlight w:val="none"/>
          <w:lang w:val="en-US" w:eastAsia="zh-CN"/>
        </w:rPr>
        <w:t>考核不合格的，</w:t>
      </w:r>
      <w:r>
        <w:rPr>
          <w:rFonts w:hint="eastAsia" w:hAnsi="宋体"/>
          <w:b w:val="0"/>
          <w:bCs/>
          <w:color w:val="auto"/>
          <w:sz w:val="24"/>
          <w:szCs w:val="24"/>
          <w:highlight w:val="none"/>
          <w:lang w:val="en-US" w:eastAsia="zh-CN"/>
        </w:rPr>
        <w:t>采购人</w:t>
      </w:r>
      <w:r>
        <w:rPr>
          <w:rFonts w:hint="default" w:hAnsi="宋体"/>
          <w:b w:val="0"/>
          <w:bCs/>
          <w:color w:val="auto"/>
          <w:sz w:val="24"/>
          <w:szCs w:val="24"/>
          <w:highlight w:val="none"/>
          <w:lang w:val="en-US" w:eastAsia="zh-CN"/>
        </w:rPr>
        <w:t>有权要求</w:t>
      </w:r>
      <w:r>
        <w:rPr>
          <w:rFonts w:hint="eastAsia" w:hAnsi="宋体"/>
          <w:b w:val="0"/>
          <w:bCs/>
          <w:color w:val="auto"/>
          <w:sz w:val="24"/>
          <w:szCs w:val="24"/>
          <w:highlight w:val="none"/>
          <w:lang w:val="en-US" w:eastAsia="zh-CN"/>
        </w:rPr>
        <w:t>成交供应商</w:t>
      </w:r>
      <w:r>
        <w:rPr>
          <w:rFonts w:hint="default" w:hAnsi="宋体"/>
          <w:b w:val="0"/>
          <w:bCs/>
          <w:color w:val="auto"/>
          <w:sz w:val="24"/>
          <w:szCs w:val="24"/>
          <w:highlight w:val="none"/>
          <w:lang w:val="en-US" w:eastAsia="zh-CN"/>
        </w:rPr>
        <w:t>整改，</w:t>
      </w:r>
      <w:r>
        <w:rPr>
          <w:rFonts w:hint="eastAsia" w:hAnsi="宋体"/>
          <w:b w:val="0"/>
          <w:bCs/>
          <w:color w:val="auto"/>
          <w:sz w:val="24"/>
          <w:szCs w:val="24"/>
          <w:highlight w:val="none"/>
          <w:lang w:val="en-US" w:eastAsia="zh-CN"/>
        </w:rPr>
        <w:t>成交供应商</w:t>
      </w:r>
      <w:r>
        <w:rPr>
          <w:rFonts w:hint="default" w:hAnsi="宋体"/>
          <w:b w:val="0"/>
          <w:bCs/>
          <w:color w:val="auto"/>
          <w:sz w:val="24"/>
          <w:szCs w:val="24"/>
          <w:highlight w:val="none"/>
          <w:lang w:val="en-US" w:eastAsia="zh-CN"/>
        </w:rPr>
        <w:t>三次整改仍不符合要求的，</w:t>
      </w:r>
      <w:r>
        <w:rPr>
          <w:rFonts w:hint="eastAsia" w:hAnsi="宋体"/>
          <w:b w:val="0"/>
          <w:bCs/>
          <w:color w:val="auto"/>
          <w:sz w:val="24"/>
          <w:szCs w:val="24"/>
          <w:highlight w:val="none"/>
          <w:lang w:val="en-US" w:eastAsia="zh-CN"/>
        </w:rPr>
        <w:t>采购人</w:t>
      </w:r>
      <w:r>
        <w:rPr>
          <w:rFonts w:hint="default" w:hAnsi="宋体"/>
          <w:b w:val="0"/>
          <w:bCs/>
          <w:color w:val="auto"/>
          <w:sz w:val="24"/>
          <w:szCs w:val="24"/>
          <w:highlight w:val="none"/>
          <w:lang w:val="en-US" w:eastAsia="zh-CN"/>
        </w:rPr>
        <w:t>有权终止合同。</w:t>
      </w:r>
    </w:p>
    <w:p>
      <w:pPr>
        <w:pStyle w:val="37"/>
        <w:numPr>
          <w:ilvl w:val="1"/>
          <w:numId w:val="0"/>
        </w:numPr>
        <w:spacing w:line="520" w:lineRule="exact"/>
        <w:ind w:firstLine="480" w:firstLineChars="200"/>
        <w:outlineLvl w:val="9"/>
        <w:rPr>
          <w:rFonts w:hint="default" w:hAnsi="宋体"/>
          <w:b w:val="0"/>
          <w:bCs/>
          <w:color w:val="auto"/>
          <w:sz w:val="24"/>
          <w:szCs w:val="24"/>
          <w:highlight w:val="none"/>
          <w:lang w:val="en-US" w:eastAsia="zh-CN"/>
        </w:rPr>
      </w:pPr>
      <w:r>
        <w:rPr>
          <w:rFonts w:hint="default" w:hAnsi="宋体"/>
          <w:b w:val="0"/>
          <w:bCs/>
          <w:color w:val="auto"/>
          <w:sz w:val="24"/>
          <w:szCs w:val="24"/>
          <w:highlight w:val="none"/>
          <w:lang w:val="en-US" w:eastAsia="zh-CN"/>
        </w:rPr>
        <w:t>5</w:t>
      </w:r>
      <w:r>
        <w:rPr>
          <w:rFonts w:hint="eastAsia" w:hAnsi="宋体"/>
          <w:b w:val="0"/>
          <w:bCs/>
          <w:color w:val="auto"/>
          <w:sz w:val="24"/>
          <w:szCs w:val="24"/>
          <w:highlight w:val="none"/>
          <w:lang w:val="en-US" w:eastAsia="zh-CN"/>
        </w:rPr>
        <w:t>、成交供应商</w:t>
      </w:r>
      <w:r>
        <w:rPr>
          <w:rFonts w:hint="default" w:hAnsi="宋体"/>
          <w:b w:val="0"/>
          <w:bCs/>
          <w:color w:val="auto"/>
          <w:sz w:val="24"/>
          <w:szCs w:val="24"/>
          <w:highlight w:val="none"/>
          <w:lang w:val="en-US" w:eastAsia="zh-CN"/>
        </w:rPr>
        <w:t>应当遵守</w:t>
      </w:r>
      <w:r>
        <w:rPr>
          <w:rFonts w:hint="eastAsia" w:hAnsi="宋体"/>
          <w:b w:val="0"/>
          <w:bCs/>
          <w:color w:val="auto"/>
          <w:sz w:val="24"/>
          <w:szCs w:val="24"/>
          <w:highlight w:val="none"/>
          <w:lang w:val="en-US" w:eastAsia="zh-CN"/>
        </w:rPr>
        <w:t>采购人</w:t>
      </w:r>
      <w:r>
        <w:rPr>
          <w:rFonts w:hint="default" w:hAnsi="宋体"/>
          <w:b w:val="0"/>
          <w:bCs/>
          <w:color w:val="auto"/>
          <w:sz w:val="24"/>
          <w:szCs w:val="24"/>
          <w:highlight w:val="none"/>
          <w:lang w:val="en-US" w:eastAsia="zh-CN"/>
        </w:rPr>
        <w:t>的相关项目需求及相关技术要求及实质性条款，实施完成采购合同应当完全满足相关项目需求及相关技术要求及实质性条款，若</w:t>
      </w:r>
      <w:r>
        <w:rPr>
          <w:rFonts w:hint="eastAsia" w:hAnsi="宋体"/>
          <w:b w:val="0"/>
          <w:bCs/>
          <w:color w:val="auto"/>
          <w:sz w:val="24"/>
          <w:szCs w:val="24"/>
          <w:highlight w:val="none"/>
          <w:lang w:val="en-US" w:eastAsia="zh-CN"/>
        </w:rPr>
        <w:t>成交供应商</w:t>
      </w:r>
      <w:r>
        <w:rPr>
          <w:rFonts w:hint="default" w:hAnsi="宋体"/>
          <w:b w:val="0"/>
          <w:bCs/>
          <w:color w:val="auto"/>
          <w:sz w:val="24"/>
          <w:szCs w:val="24"/>
          <w:highlight w:val="none"/>
          <w:lang w:val="en-US" w:eastAsia="zh-CN"/>
        </w:rPr>
        <w:t>瑕疵履行采购合同，</w:t>
      </w:r>
      <w:r>
        <w:rPr>
          <w:rFonts w:hint="eastAsia" w:hAnsi="宋体"/>
          <w:b w:val="0"/>
          <w:bCs/>
          <w:color w:val="auto"/>
          <w:sz w:val="24"/>
          <w:szCs w:val="24"/>
          <w:highlight w:val="none"/>
          <w:lang w:val="en-US" w:eastAsia="zh-CN"/>
        </w:rPr>
        <w:t>采购人</w:t>
      </w:r>
      <w:r>
        <w:rPr>
          <w:rFonts w:hint="default" w:hAnsi="宋体"/>
          <w:b w:val="0"/>
          <w:bCs/>
          <w:color w:val="auto"/>
          <w:sz w:val="24"/>
          <w:szCs w:val="24"/>
          <w:highlight w:val="none"/>
          <w:lang w:val="en-US" w:eastAsia="zh-CN"/>
        </w:rPr>
        <w:t>有权向</w:t>
      </w:r>
      <w:r>
        <w:rPr>
          <w:rFonts w:hint="eastAsia" w:hAnsi="宋体"/>
          <w:b w:val="0"/>
          <w:bCs/>
          <w:color w:val="auto"/>
          <w:sz w:val="24"/>
          <w:szCs w:val="24"/>
          <w:highlight w:val="none"/>
          <w:lang w:val="en-US" w:eastAsia="zh-CN"/>
        </w:rPr>
        <w:t>成交供应商</w:t>
      </w:r>
      <w:r>
        <w:rPr>
          <w:rFonts w:hint="default" w:hAnsi="宋体"/>
          <w:b w:val="0"/>
          <w:bCs/>
          <w:color w:val="auto"/>
          <w:sz w:val="24"/>
          <w:szCs w:val="24"/>
          <w:highlight w:val="none"/>
          <w:lang w:val="en-US" w:eastAsia="zh-CN"/>
        </w:rPr>
        <w:t>要求赔偿合同总价款20%的违约金，若造成相关损失的，</w:t>
      </w:r>
      <w:r>
        <w:rPr>
          <w:rFonts w:hint="eastAsia" w:hAnsi="宋体"/>
          <w:b w:val="0"/>
          <w:bCs/>
          <w:color w:val="auto"/>
          <w:sz w:val="24"/>
          <w:szCs w:val="24"/>
          <w:highlight w:val="none"/>
          <w:lang w:val="en-US" w:eastAsia="zh-CN"/>
        </w:rPr>
        <w:t>采购人</w:t>
      </w:r>
      <w:r>
        <w:rPr>
          <w:rFonts w:hint="default" w:hAnsi="宋体"/>
          <w:b w:val="0"/>
          <w:bCs/>
          <w:color w:val="auto"/>
          <w:sz w:val="24"/>
          <w:szCs w:val="24"/>
          <w:highlight w:val="none"/>
          <w:lang w:val="en-US" w:eastAsia="zh-CN"/>
        </w:rPr>
        <w:t>有权要求</w:t>
      </w:r>
      <w:r>
        <w:rPr>
          <w:rFonts w:hint="eastAsia" w:hAnsi="宋体"/>
          <w:b w:val="0"/>
          <w:bCs/>
          <w:color w:val="auto"/>
          <w:sz w:val="24"/>
          <w:szCs w:val="24"/>
          <w:highlight w:val="none"/>
          <w:lang w:val="en-US" w:eastAsia="zh-CN"/>
        </w:rPr>
        <w:t>成交供应商</w:t>
      </w:r>
      <w:r>
        <w:rPr>
          <w:rFonts w:hint="default" w:hAnsi="宋体"/>
          <w:b w:val="0"/>
          <w:bCs/>
          <w:color w:val="auto"/>
          <w:sz w:val="24"/>
          <w:szCs w:val="24"/>
          <w:highlight w:val="none"/>
          <w:lang w:val="en-US" w:eastAsia="zh-CN"/>
        </w:rPr>
        <w:t>承担所有赔偿责任。</w:t>
      </w:r>
    </w:p>
    <w:p>
      <w:pPr>
        <w:pStyle w:val="37"/>
        <w:numPr>
          <w:ilvl w:val="1"/>
          <w:numId w:val="0"/>
        </w:numPr>
        <w:spacing w:line="520" w:lineRule="exact"/>
        <w:ind w:firstLine="480" w:firstLineChars="200"/>
        <w:outlineLvl w:val="9"/>
        <w:rPr>
          <w:rFonts w:hint="default" w:hAnsi="宋体"/>
          <w:b w:val="0"/>
          <w:bCs/>
          <w:color w:val="auto"/>
          <w:sz w:val="24"/>
          <w:szCs w:val="24"/>
          <w:highlight w:val="none"/>
          <w:lang w:val="en-US" w:eastAsia="zh-CN"/>
        </w:rPr>
      </w:pPr>
    </w:p>
    <w:p>
      <w:pPr>
        <w:pStyle w:val="37"/>
        <w:numPr>
          <w:ilvl w:val="1"/>
          <w:numId w:val="0"/>
        </w:numPr>
        <w:spacing w:line="520" w:lineRule="exact"/>
        <w:ind w:firstLine="480" w:firstLineChars="200"/>
        <w:outlineLvl w:val="9"/>
        <w:rPr>
          <w:rFonts w:hint="eastAsia"/>
          <w:b w:val="0"/>
          <w:bCs/>
          <w:color w:val="auto"/>
          <w:sz w:val="24"/>
          <w:szCs w:val="24"/>
          <w:highlight w:val="none"/>
        </w:rPr>
      </w:pPr>
    </w:p>
    <w:sectPr>
      <w:headerReference r:id="rId5" w:type="first"/>
      <w:headerReference r:id="rId3" w:type="default"/>
      <w:footerReference r:id="rId6"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9560457"/>
      <w:docPartObj>
        <w:docPartGallery w:val="autotext"/>
      </w:docPartObj>
    </w:sdtPr>
    <w:sdtContent>
      <w:sdt>
        <w:sdtPr>
          <w:id w:val="74245515"/>
          <w:docPartObj>
            <w:docPartGallery w:val="autotext"/>
          </w:docPartObj>
        </w:sdtPr>
        <w:sdtContent>
          <w:p>
            <w:pPr>
              <w:pStyle w:val="10"/>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43</w:t>
            </w:r>
            <w:r>
              <w:rPr>
                <w:b/>
                <w:bCs/>
                <w:sz w:val="24"/>
                <w:szCs w:val="24"/>
              </w:rPr>
              <w:fldChar w:fldCharType="end"/>
            </w:r>
          </w:p>
        </w:sdtContent>
      </w:sdt>
    </w:sdtContent>
  </w:sdt>
  <w:p>
    <w:pPr>
      <w:pStyle w:val="10"/>
      <w:ind w:firstLine="360"/>
      <w:rPr>
        <w:rFonts w:cs="Times New Roman" w:asciiTheme="minorEastAsia" w:hAnsiTheme="minor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D8E0A"/>
    <w:multiLevelType w:val="multilevel"/>
    <w:tmpl w:val="B04D8E0A"/>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pStyle w:val="37"/>
      <w:suff w:val="nothing"/>
      <w:lvlText w:val="%2、"/>
      <w:lvlJc w:val="left"/>
      <w:pPr>
        <w:ind w:left="0" w:firstLine="0"/>
      </w:pPr>
      <w:rPr>
        <w:rFonts w:hint="eastAsia" w:ascii="宋体" w:hAnsi="宋体" w:eastAsia="宋体" w:cs="宋体"/>
      </w:rPr>
    </w:lvl>
    <w:lvl w:ilvl="2" w:tentative="0">
      <w:start w:val="1"/>
      <w:numFmt w:val="chineseCounting"/>
      <w:suff w:val="nothing"/>
      <w:lvlText w:val="(%3)"/>
      <w:lvlJc w:val="left"/>
      <w:pPr>
        <w:tabs>
          <w:tab w:val="left" w:pos="0"/>
        </w:tabs>
        <w:ind w:left="0" w:firstLine="0"/>
      </w:pPr>
      <w:rPr>
        <w:rFonts w:hint="eastAsia" w:ascii="宋体" w:hAnsi="宋体" w:eastAsia="宋体" w:cs="宋体"/>
      </w:rPr>
    </w:lvl>
    <w:lvl w:ilvl="3" w:tentative="0">
      <w:start w:val="1"/>
      <w:numFmt w:val="decimal"/>
      <w:suff w:val="nothing"/>
      <w:lvlText w:val="%4."/>
      <w:lvlJc w:val="left"/>
      <w:pPr>
        <w:tabs>
          <w:tab w:val="left" w:pos="0"/>
        </w:tabs>
        <w:ind w:left="0"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wYTI0NGY1NjA0MDkwYjkxODA3Y2YwMTY4YTJmY2YifQ=="/>
  </w:docVars>
  <w:rsids>
    <w:rsidRoot w:val="00561A57"/>
    <w:rsid w:val="0001560B"/>
    <w:rsid w:val="00094A3F"/>
    <w:rsid w:val="00132857"/>
    <w:rsid w:val="00134D26"/>
    <w:rsid w:val="00166EFE"/>
    <w:rsid w:val="00176E8D"/>
    <w:rsid w:val="001D770D"/>
    <w:rsid w:val="00241BB2"/>
    <w:rsid w:val="00296A8D"/>
    <w:rsid w:val="002F57D0"/>
    <w:rsid w:val="00332574"/>
    <w:rsid w:val="003B3D6B"/>
    <w:rsid w:val="00561A57"/>
    <w:rsid w:val="005868F1"/>
    <w:rsid w:val="005B5B66"/>
    <w:rsid w:val="00625ED9"/>
    <w:rsid w:val="006F01C6"/>
    <w:rsid w:val="00717D6F"/>
    <w:rsid w:val="008B3A3B"/>
    <w:rsid w:val="008E73BD"/>
    <w:rsid w:val="009D2EAA"/>
    <w:rsid w:val="00AE4FD6"/>
    <w:rsid w:val="00B10D4E"/>
    <w:rsid w:val="00B603DC"/>
    <w:rsid w:val="00B77D2B"/>
    <w:rsid w:val="00D44FC9"/>
    <w:rsid w:val="00D65A03"/>
    <w:rsid w:val="00D82DC3"/>
    <w:rsid w:val="00E12127"/>
    <w:rsid w:val="00E530AB"/>
    <w:rsid w:val="00F11BEE"/>
    <w:rsid w:val="00F60D09"/>
    <w:rsid w:val="00FD1286"/>
    <w:rsid w:val="05E60E91"/>
    <w:rsid w:val="071C4EAB"/>
    <w:rsid w:val="08744BDF"/>
    <w:rsid w:val="0A067AB9"/>
    <w:rsid w:val="0A7A5112"/>
    <w:rsid w:val="10D34B99"/>
    <w:rsid w:val="14AB3737"/>
    <w:rsid w:val="16503FED"/>
    <w:rsid w:val="18770500"/>
    <w:rsid w:val="18980476"/>
    <w:rsid w:val="1968609A"/>
    <w:rsid w:val="1D216C8C"/>
    <w:rsid w:val="23DE7685"/>
    <w:rsid w:val="2E121253"/>
    <w:rsid w:val="317C04DD"/>
    <w:rsid w:val="356E45E1"/>
    <w:rsid w:val="370C40B1"/>
    <w:rsid w:val="37117919"/>
    <w:rsid w:val="38402264"/>
    <w:rsid w:val="393060D8"/>
    <w:rsid w:val="406925CB"/>
    <w:rsid w:val="423A11DC"/>
    <w:rsid w:val="458A15CA"/>
    <w:rsid w:val="485E2B2B"/>
    <w:rsid w:val="530C65B5"/>
    <w:rsid w:val="544607AB"/>
    <w:rsid w:val="54D04518"/>
    <w:rsid w:val="56D95968"/>
    <w:rsid w:val="5ABD72ED"/>
    <w:rsid w:val="5F265B28"/>
    <w:rsid w:val="60E7023C"/>
    <w:rsid w:val="62053A53"/>
    <w:rsid w:val="63A63014"/>
    <w:rsid w:val="69004F74"/>
    <w:rsid w:val="69E77EE2"/>
    <w:rsid w:val="6A3F1ACC"/>
    <w:rsid w:val="6A9E4A45"/>
    <w:rsid w:val="6BF55709"/>
    <w:rsid w:val="6C3806EF"/>
    <w:rsid w:val="6CA65E33"/>
    <w:rsid w:val="72DF1277"/>
    <w:rsid w:val="730438B3"/>
    <w:rsid w:val="762027B2"/>
    <w:rsid w:val="77223206"/>
    <w:rsid w:val="777F175A"/>
    <w:rsid w:val="77BF424C"/>
    <w:rsid w:val="7A032225"/>
    <w:rsid w:val="7A932CE7"/>
    <w:rsid w:val="7B6A3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1"/>
    <w:autoRedefine/>
    <w:qFormat/>
    <w:uiPriority w:val="0"/>
    <w:pPr>
      <w:keepNext/>
      <w:keepLines/>
      <w:spacing w:before="240" w:after="240" w:line="360" w:lineRule="auto"/>
      <w:ind w:firstLine="200" w:firstLineChars="200"/>
      <w:jc w:val="left"/>
      <w:outlineLvl w:val="0"/>
    </w:pPr>
    <w:rPr>
      <w:rFonts w:eastAsiaTheme="majorEastAsia"/>
      <w:b/>
      <w:bCs/>
      <w:kern w:val="44"/>
      <w:sz w:val="32"/>
      <w:szCs w:val="44"/>
    </w:rPr>
  </w:style>
  <w:style w:type="paragraph" w:styleId="4">
    <w:name w:val="heading 2"/>
    <w:basedOn w:val="1"/>
    <w:next w:val="1"/>
    <w:link w:val="22"/>
    <w:autoRedefine/>
    <w:unhideWhenUsed/>
    <w:qFormat/>
    <w:uiPriority w:val="0"/>
    <w:pPr>
      <w:keepNext/>
      <w:keepLines/>
      <w:spacing w:before="120" w:after="120" w:line="360" w:lineRule="auto"/>
      <w:ind w:firstLine="200" w:firstLineChars="200"/>
      <w:jc w:val="left"/>
      <w:outlineLvl w:val="1"/>
    </w:pPr>
    <w:rPr>
      <w:rFonts w:asciiTheme="majorHAnsi" w:hAnsiTheme="majorHAnsi" w:eastAsiaTheme="majorEastAsia" w:cstheme="majorBidi"/>
      <w:b/>
      <w:bCs/>
      <w:sz w:val="30"/>
      <w:szCs w:val="32"/>
    </w:rPr>
  </w:style>
  <w:style w:type="paragraph" w:styleId="5">
    <w:name w:val="heading 3"/>
    <w:basedOn w:val="1"/>
    <w:next w:val="1"/>
    <w:link w:val="29"/>
    <w:autoRedefine/>
    <w:unhideWhenUsed/>
    <w:qFormat/>
    <w:uiPriority w:val="9"/>
    <w:pPr>
      <w:keepNext/>
      <w:keepLines/>
      <w:spacing w:before="260" w:after="260" w:line="416" w:lineRule="auto"/>
      <w:outlineLvl w:val="2"/>
    </w:pPr>
    <w:rPr>
      <w:rFonts w:eastAsiaTheme="majorEastAsia"/>
      <w:b/>
      <w:bCs/>
      <w:sz w:val="28"/>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99"/>
    <w:pPr>
      <w:spacing w:after="120"/>
    </w:pPr>
  </w:style>
  <w:style w:type="paragraph" w:styleId="6">
    <w:name w:val="List 2"/>
    <w:basedOn w:val="1"/>
    <w:autoRedefine/>
    <w:qFormat/>
    <w:uiPriority w:val="0"/>
    <w:pPr>
      <w:spacing w:line="360" w:lineRule="auto"/>
      <w:ind w:left="100" w:leftChars="200" w:hanging="200" w:hangingChars="200"/>
    </w:pPr>
    <w:rPr>
      <w:rFonts w:ascii="Times New Roman" w:hAnsi="Times New Roman" w:eastAsia="仿宋" w:cs="Times New Roman"/>
      <w:sz w:val="24"/>
      <w:szCs w:val="24"/>
    </w:rPr>
  </w:style>
  <w:style w:type="paragraph" w:styleId="7">
    <w:name w:val="toc 3"/>
    <w:basedOn w:val="1"/>
    <w:next w:val="1"/>
    <w:autoRedefine/>
    <w:unhideWhenUsed/>
    <w:qFormat/>
    <w:uiPriority w:val="39"/>
    <w:pPr>
      <w:widowControl/>
      <w:spacing w:after="100" w:line="276" w:lineRule="auto"/>
      <w:ind w:left="440" w:firstLine="200" w:firstLineChars="200"/>
      <w:jc w:val="left"/>
    </w:pPr>
    <w:rPr>
      <w:rFonts w:eastAsia="仿宋"/>
      <w:kern w:val="0"/>
      <w:sz w:val="22"/>
    </w:rPr>
  </w:style>
  <w:style w:type="paragraph" w:styleId="8">
    <w:name w:val="Date"/>
    <w:basedOn w:val="1"/>
    <w:next w:val="1"/>
    <w:link w:val="20"/>
    <w:autoRedefine/>
    <w:semiHidden/>
    <w:unhideWhenUsed/>
    <w:qFormat/>
    <w:uiPriority w:val="99"/>
    <w:pPr>
      <w:ind w:left="100" w:leftChars="2500"/>
    </w:pPr>
  </w:style>
  <w:style w:type="paragraph" w:styleId="9">
    <w:name w:val="Balloon Text"/>
    <w:basedOn w:val="1"/>
    <w:link w:val="28"/>
    <w:autoRedefine/>
    <w:semiHidden/>
    <w:unhideWhenUsed/>
    <w:qFormat/>
    <w:uiPriority w:val="99"/>
    <w:rPr>
      <w:sz w:val="18"/>
      <w:szCs w:val="18"/>
    </w:rPr>
  </w:style>
  <w:style w:type="paragraph" w:styleId="10">
    <w:name w:val="footer"/>
    <w:basedOn w:val="1"/>
    <w:link w:val="24"/>
    <w:autoRedefine/>
    <w:qFormat/>
    <w:uiPriority w:val="99"/>
    <w:pPr>
      <w:tabs>
        <w:tab w:val="center" w:pos="4153"/>
        <w:tab w:val="right" w:pos="8306"/>
      </w:tabs>
      <w:snapToGrid w:val="0"/>
      <w:spacing w:line="360" w:lineRule="auto"/>
      <w:ind w:firstLine="200" w:firstLineChars="200"/>
      <w:jc w:val="left"/>
    </w:pPr>
    <w:rPr>
      <w:rFonts w:eastAsia="仿宋"/>
      <w:sz w:val="18"/>
      <w:szCs w:val="18"/>
    </w:rPr>
  </w:style>
  <w:style w:type="paragraph" w:styleId="11">
    <w:name w:val="header"/>
    <w:basedOn w:val="1"/>
    <w:link w:val="23"/>
    <w:autoRedefine/>
    <w:qFormat/>
    <w:uiPriority w:val="99"/>
    <w:pPr>
      <w:tabs>
        <w:tab w:val="center" w:pos="4153"/>
        <w:tab w:val="right" w:pos="8306"/>
      </w:tabs>
      <w:snapToGrid w:val="0"/>
      <w:spacing w:line="360" w:lineRule="auto"/>
      <w:ind w:firstLine="200" w:firstLineChars="200"/>
      <w:jc w:val="center"/>
    </w:pPr>
    <w:rPr>
      <w:rFonts w:eastAsia="仿宋"/>
      <w:sz w:val="18"/>
      <w:szCs w:val="18"/>
    </w:rPr>
  </w:style>
  <w:style w:type="paragraph" w:styleId="12">
    <w:name w:val="toc 1"/>
    <w:basedOn w:val="1"/>
    <w:next w:val="1"/>
    <w:autoRedefine/>
    <w:unhideWhenUsed/>
    <w:qFormat/>
    <w:uiPriority w:val="39"/>
    <w:pPr>
      <w:widowControl/>
      <w:tabs>
        <w:tab w:val="right" w:leader="dot" w:pos="8296"/>
      </w:tabs>
      <w:spacing w:after="100"/>
      <w:ind w:firstLine="440" w:firstLineChars="200"/>
      <w:jc w:val="left"/>
    </w:pPr>
    <w:rPr>
      <w:rFonts w:eastAsia="仿宋"/>
      <w:kern w:val="0"/>
      <w:sz w:val="22"/>
    </w:rPr>
  </w:style>
  <w:style w:type="paragraph" w:styleId="13">
    <w:name w:val="toc 2"/>
    <w:basedOn w:val="1"/>
    <w:next w:val="1"/>
    <w:autoRedefine/>
    <w:unhideWhenUsed/>
    <w:qFormat/>
    <w:uiPriority w:val="39"/>
    <w:pPr>
      <w:widowControl/>
      <w:tabs>
        <w:tab w:val="right" w:leader="dot" w:pos="8296"/>
      </w:tabs>
      <w:spacing w:after="100"/>
      <w:ind w:left="220" w:firstLine="440" w:firstLineChars="200"/>
      <w:jc w:val="left"/>
    </w:pPr>
    <w:rPr>
      <w:rFonts w:eastAsia="仿宋"/>
      <w:kern w:val="0"/>
      <w:sz w:val="22"/>
    </w:rPr>
  </w:style>
  <w:style w:type="table" w:styleId="15">
    <w:name w:val="Table Grid"/>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autoRedefine/>
    <w:qFormat/>
    <w:uiPriority w:val="99"/>
    <w:rPr>
      <w:color w:val="0000FF"/>
      <w:u w:val="single"/>
    </w:rPr>
  </w:style>
  <w:style w:type="character" w:customStyle="1" w:styleId="18">
    <w:name w:val="智业正文 Char"/>
    <w:link w:val="19"/>
    <w:autoRedefine/>
    <w:qFormat/>
    <w:uiPriority w:val="0"/>
    <w:rPr>
      <w:rFonts w:ascii="宋体" w:hAnsi="宋体" w:eastAsia="宋体" w:cs="Times New Roman"/>
      <w:sz w:val="24"/>
      <w:szCs w:val="24"/>
    </w:rPr>
  </w:style>
  <w:style w:type="paragraph" w:customStyle="1" w:styleId="19">
    <w:name w:val="智业正文"/>
    <w:basedOn w:val="1"/>
    <w:link w:val="18"/>
    <w:autoRedefine/>
    <w:qFormat/>
    <w:uiPriority w:val="0"/>
    <w:pPr>
      <w:spacing w:line="360" w:lineRule="auto"/>
      <w:ind w:firstLine="200" w:firstLineChars="200"/>
    </w:pPr>
    <w:rPr>
      <w:rFonts w:ascii="宋体" w:hAnsi="宋体" w:eastAsia="宋体" w:cs="Times New Roman"/>
      <w:sz w:val="24"/>
      <w:szCs w:val="24"/>
    </w:rPr>
  </w:style>
  <w:style w:type="character" w:customStyle="1" w:styleId="20">
    <w:name w:val="日期 Char"/>
    <w:basedOn w:val="16"/>
    <w:link w:val="8"/>
    <w:autoRedefine/>
    <w:semiHidden/>
    <w:qFormat/>
    <w:uiPriority w:val="99"/>
  </w:style>
  <w:style w:type="character" w:customStyle="1" w:styleId="21">
    <w:name w:val="标题 1 Char"/>
    <w:basedOn w:val="16"/>
    <w:link w:val="3"/>
    <w:autoRedefine/>
    <w:qFormat/>
    <w:uiPriority w:val="0"/>
    <w:rPr>
      <w:rFonts w:eastAsiaTheme="majorEastAsia"/>
      <w:b/>
      <w:bCs/>
      <w:kern w:val="44"/>
      <w:sz w:val="32"/>
      <w:szCs w:val="44"/>
    </w:rPr>
  </w:style>
  <w:style w:type="character" w:customStyle="1" w:styleId="22">
    <w:name w:val="标题 2 Char"/>
    <w:basedOn w:val="16"/>
    <w:link w:val="4"/>
    <w:autoRedefine/>
    <w:qFormat/>
    <w:uiPriority w:val="0"/>
    <w:rPr>
      <w:rFonts w:asciiTheme="majorHAnsi" w:hAnsiTheme="majorHAnsi" w:eastAsiaTheme="majorEastAsia" w:cstheme="majorBidi"/>
      <w:b/>
      <w:bCs/>
      <w:sz w:val="30"/>
      <w:szCs w:val="32"/>
    </w:rPr>
  </w:style>
  <w:style w:type="character" w:customStyle="1" w:styleId="23">
    <w:name w:val="页眉 Char"/>
    <w:basedOn w:val="16"/>
    <w:link w:val="11"/>
    <w:autoRedefine/>
    <w:qFormat/>
    <w:uiPriority w:val="99"/>
    <w:rPr>
      <w:rFonts w:eastAsia="仿宋"/>
      <w:sz w:val="18"/>
      <w:szCs w:val="18"/>
    </w:rPr>
  </w:style>
  <w:style w:type="character" w:customStyle="1" w:styleId="24">
    <w:name w:val="页脚 Char"/>
    <w:basedOn w:val="16"/>
    <w:link w:val="10"/>
    <w:autoRedefine/>
    <w:qFormat/>
    <w:uiPriority w:val="99"/>
    <w:rPr>
      <w:rFonts w:eastAsia="仿宋"/>
      <w:sz w:val="18"/>
      <w:szCs w:val="18"/>
    </w:rPr>
  </w:style>
  <w:style w:type="paragraph" w:customStyle="1" w:styleId="25">
    <w:name w:val="TOC Heading"/>
    <w:basedOn w:val="3"/>
    <w:next w:val="1"/>
    <w:autoRedefine/>
    <w:unhideWhenUsed/>
    <w:qFormat/>
    <w:uiPriority w:val="39"/>
    <w:pPr>
      <w:widowControl/>
      <w:spacing w:before="480" w:after="0" w:line="276" w:lineRule="auto"/>
      <w:outlineLvl w:val="9"/>
    </w:pPr>
    <w:rPr>
      <w:rFonts w:asciiTheme="majorHAnsi" w:hAnsiTheme="majorHAnsi" w:cstheme="majorBidi"/>
      <w:color w:val="376092" w:themeColor="accent1" w:themeShade="BF"/>
      <w:kern w:val="0"/>
      <w:sz w:val="28"/>
      <w:szCs w:val="28"/>
    </w:rPr>
  </w:style>
  <w:style w:type="paragraph" w:styleId="26">
    <w:name w:val="List Paragraph"/>
    <w:basedOn w:val="1"/>
    <w:link w:val="27"/>
    <w:autoRedefine/>
    <w:unhideWhenUsed/>
    <w:qFormat/>
    <w:uiPriority w:val="34"/>
    <w:pPr>
      <w:spacing w:line="360" w:lineRule="auto"/>
      <w:ind w:firstLine="420" w:firstLineChars="200"/>
    </w:pPr>
    <w:rPr>
      <w:rFonts w:eastAsia="仿宋"/>
      <w:sz w:val="24"/>
      <w:szCs w:val="24"/>
    </w:rPr>
  </w:style>
  <w:style w:type="character" w:customStyle="1" w:styleId="27">
    <w:name w:val="列出段落 Char"/>
    <w:basedOn w:val="16"/>
    <w:link w:val="26"/>
    <w:autoRedefine/>
    <w:qFormat/>
    <w:uiPriority w:val="34"/>
    <w:rPr>
      <w:rFonts w:eastAsia="仿宋"/>
      <w:sz w:val="24"/>
      <w:szCs w:val="24"/>
    </w:rPr>
  </w:style>
  <w:style w:type="character" w:customStyle="1" w:styleId="28">
    <w:name w:val="批注框文本 Char"/>
    <w:basedOn w:val="16"/>
    <w:link w:val="9"/>
    <w:autoRedefine/>
    <w:semiHidden/>
    <w:qFormat/>
    <w:uiPriority w:val="99"/>
    <w:rPr>
      <w:sz w:val="18"/>
      <w:szCs w:val="18"/>
    </w:rPr>
  </w:style>
  <w:style w:type="character" w:customStyle="1" w:styleId="29">
    <w:name w:val="标题 3 Char"/>
    <w:basedOn w:val="16"/>
    <w:link w:val="5"/>
    <w:autoRedefine/>
    <w:qFormat/>
    <w:uiPriority w:val="9"/>
    <w:rPr>
      <w:rFonts w:eastAsiaTheme="majorEastAsia"/>
      <w:b/>
      <w:bCs/>
      <w:sz w:val="28"/>
      <w:szCs w:val="32"/>
    </w:rPr>
  </w:style>
  <w:style w:type="character" w:customStyle="1" w:styleId="30">
    <w:name w:val="*正文 Char"/>
    <w:link w:val="31"/>
    <w:autoRedefine/>
    <w:qFormat/>
    <w:uiPriority w:val="0"/>
    <w:rPr>
      <w:rFonts w:ascii="Times New Roman" w:hAnsi="Times New Roman" w:eastAsia="宋体"/>
      <w:sz w:val="24"/>
      <w:szCs w:val="28"/>
    </w:rPr>
  </w:style>
  <w:style w:type="paragraph" w:customStyle="1" w:styleId="31">
    <w:name w:val="*正文"/>
    <w:basedOn w:val="1"/>
    <w:link w:val="30"/>
    <w:autoRedefine/>
    <w:qFormat/>
    <w:uiPriority w:val="0"/>
    <w:pPr>
      <w:widowControl/>
      <w:spacing w:line="360" w:lineRule="auto"/>
      <w:ind w:firstLine="200" w:firstLineChars="200"/>
      <w:jc w:val="left"/>
    </w:pPr>
    <w:rPr>
      <w:rFonts w:ascii="Times New Roman" w:hAnsi="Times New Roman" w:eastAsia="宋体"/>
      <w:sz w:val="24"/>
      <w:szCs w:val="28"/>
    </w:rPr>
  </w:style>
  <w:style w:type="paragraph" w:styleId="32">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3">
    <w:name w:val="列表段落 字符"/>
    <w:basedOn w:val="16"/>
    <w:link w:val="34"/>
    <w:autoRedefine/>
    <w:qFormat/>
    <w:uiPriority w:val="0"/>
  </w:style>
  <w:style w:type="paragraph" w:customStyle="1" w:styleId="34">
    <w:name w:val="列表段落"/>
    <w:basedOn w:val="1"/>
    <w:link w:val="33"/>
    <w:autoRedefine/>
    <w:qFormat/>
    <w:uiPriority w:val="0"/>
    <w:pPr>
      <w:ind w:firstLine="420" w:firstLineChars="200"/>
    </w:pPr>
  </w:style>
  <w:style w:type="character" w:customStyle="1" w:styleId="35">
    <w:name w:val="正文缩进2字符 Char"/>
    <w:link w:val="36"/>
    <w:autoRedefine/>
    <w:qFormat/>
    <w:locked/>
    <w:uiPriority w:val="0"/>
    <w:rPr>
      <w:rFonts w:ascii="Calibri" w:hAnsi="Calibri" w:cs="宋体"/>
      <w:sz w:val="24"/>
    </w:rPr>
  </w:style>
  <w:style w:type="paragraph" w:customStyle="1" w:styleId="36">
    <w:name w:val="正文缩进2字符"/>
    <w:basedOn w:val="1"/>
    <w:link w:val="35"/>
    <w:autoRedefine/>
    <w:qFormat/>
    <w:uiPriority w:val="0"/>
    <w:pPr>
      <w:spacing w:line="360" w:lineRule="auto"/>
      <w:ind w:firstLine="480" w:firstLineChars="200"/>
    </w:pPr>
    <w:rPr>
      <w:rFonts w:ascii="Calibri" w:hAnsi="Calibri" w:cs="宋体"/>
      <w:sz w:val="24"/>
    </w:rPr>
  </w:style>
  <w:style w:type="paragraph" w:customStyle="1" w:styleId="37">
    <w:name w:val="15、“一、”二级标题"/>
    <w:basedOn w:val="1"/>
    <w:autoRedefine/>
    <w:qFormat/>
    <w:uiPriority w:val="0"/>
    <w:pPr>
      <w:numPr>
        <w:ilvl w:val="1"/>
        <w:numId w:val="1"/>
      </w:numPr>
      <w:tabs>
        <w:tab w:val="left" w:pos="0"/>
      </w:tabs>
      <w:wordWrap w:val="0"/>
      <w:topLinePunct/>
      <w:ind w:firstLine="803" w:firstLineChars="200"/>
      <w:outlineLvl w:val="1"/>
    </w:pPr>
    <w:rPr>
      <w:rFonts w:hAnsi="宋体"/>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69101-A252-4790-B507-D1D96DB62CA5}">
  <ds:schemaRefs/>
</ds:datastoreItem>
</file>

<file path=docProps/app.xml><?xml version="1.0" encoding="utf-8"?>
<Properties xmlns="http://schemas.openxmlformats.org/officeDocument/2006/extended-properties" xmlns:vt="http://schemas.openxmlformats.org/officeDocument/2006/docPropsVTypes">
  <Template>Normal.dotm</Template>
  <Pages>2</Pages>
  <Words>509</Words>
  <Characters>511</Characters>
  <Lines>182</Lines>
  <Paragraphs>51</Paragraphs>
  <TotalTime>0</TotalTime>
  <ScaleCrop>false</ScaleCrop>
  <LinksUpToDate>false</LinksUpToDate>
  <CharactersWithSpaces>512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2022-06-01T00:22:00Z</dcterms:created>
  <dc:creator>admin</dc:creator>
  <cp:lastModifiedBy>陈力宏</cp:lastModifiedBy>
  <dcterms:modified xsi:type="dcterms:W3CDTF">2024-02-28T02:51:09Z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56BEBDF0507D45CE83590E996CE1985B</vt:lpwstr>
  </property>
</Properties>
</file>