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EE" w:rsidRDefault="00DB33EE" w:rsidP="00DB33EE">
      <w:pPr>
        <w:pStyle w:val="af2"/>
        <w:rPr>
          <w:sz w:val="24"/>
          <w:szCs w:val="24"/>
        </w:rPr>
      </w:pPr>
      <w:r>
        <w:rPr>
          <w:rFonts w:hint="eastAsia"/>
        </w:rPr>
        <w:t>服务</w:t>
      </w:r>
      <w:r w:rsidR="00D7623E">
        <w:rPr>
          <w:rFonts w:hint="eastAsia"/>
        </w:rPr>
        <w:t>总体</w:t>
      </w:r>
      <w:r w:rsidR="00D13F3C">
        <w:rPr>
          <w:rFonts w:hint="eastAsia"/>
        </w:rPr>
        <w:t>内容</w:t>
      </w:r>
      <w:r w:rsidR="00D7623E">
        <w:rPr>
          <w:rFonts w:hint="eastAsia"/>
        </w:rPr>
        <w:t>及</w:t>
      </w:r>
      <w:r w:rsidR="00D7623E">
        <w:t>要求</w:t>
      </w:r>
    </w:p>
    <w:p w:rsidR="00401F46" w:rsidRDefault="00401F46" w:rsidP="00DB33EE">
      <w:pPr>
        <w:pStyle w:val="a8"/>
        <w:numPr>
          <w:ilvl w:val="0"/>
          <w:numId w:val="3"/>
        </w:numPr>
        <w:wordWrap w:val="0"/>
        <w:snapToGrid/>
        <w:spacing w:beforeLines="100" w:before="312" w:afterLines="100" w:after="312" w:line="240" w:lineRule="auto"/>
        <w:ind w:firstLineChars="0" w:firstLine="0"/>
        <w:jc w:val="lef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服务</w:t>
      </w:r>
      <w:r w:rsidR="00C26947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总体</w:t>
      </w:r>
      <w:r w:rsidR="00D13F3C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内容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1399"/>
        <w:gridCol w:w="3446"/>
        <w:gridCol w:w="1134"/>
        <w:gridCol w:w="1319"/>
        <w:gridCol w:w="716"/>
      </w:tblGrid>
      <w:tr w:rsidR="00EB2B8E" w:rsidTr="00EB2B8E">
        <w:trPr>
          <w:trHeight w:val="90"/>
          <w:jc w:val="center"/>
        </w:trPr>
        <w:tc>
          <w:tcPr>
            <w:tcW w:w="0" w:type="auto"/>
          </w:tcPr>
          <w:p w:rsidR="00EB2B8E" w:rsidRDefault="00EB2B8E">
            <w:pPr>
              <w:pStyle w:val="5"/>
              <w:numPr>
                <w:ilvl w:val="4"/>
                <w:numId w:val="0"/>
              </w:numPr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序号</w:t>
            </w:r>
          </w:p>
        </w:tc>
        <w:tc>
          <w:tcPr>
            <w:tcW w:w="0" w:type="auto"/>
          </w:tcPr>
          <w:p w:rsidR="00EB2B8E" w:rsidRDefault="00EB2B8E">
            <w:pPr>
              <w:pStyle w:val="5"/>
              <w:numPr>
                <w:ilvl w:val="4"/>
                <w:numId w:val="0"/>
              </w:numPr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项目名称</w:t>
            </w:r>
          </w:p>
        </w:tc>
        <w:tc>
          <w:tcPr>
            <w:tcW w:w="3446" w:type="dxa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服务内容</w:t>
            </w:r>
          </w:p>
        </w:tc>
        <w:tc>
          <w:tcPr>
            <w:tcW w:w="1134" w:type="dxa"/>
          </w:tcPr>
          <w:p w:rsidR="006B6411" w:rsidRDefault="006B6411" w:rsidP="00DB33EE">
            <w:pPr>
              <w:pStyle w:val="5"/>
              <w:numPr>
                <w:ilvl w:val="4"/>
                <w:numId w:val="0"/>
              </w:numPr>
              <w:spacing w:before="0" w:after="0" w:line="240" w:lineRule="auto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需求</w:t>
            </w:r>
          </w:p>
          <w:p w:rsidR="00EB2B8E" w:rsidRDefault="00EB2B8E" w:rsidP="00DB33EE">
            <w:pPr>
              <w:pStyle w:val="5"/>
              <w:numPr>
                <w:ilvl w:val="4"/>
                <w:numId w:val="0"/>
              </w:numPr>
              <w:spacing w:before="0" w:after="0" w:line="240" w:lineRule="auto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数量</w:t>
            </w:r>
          </w:p>
          <w:p w:rsidR="00EB2B8E" w:rsidRDefault="00EB2B8E" w:rsidP="00DB33EE">
            <w:pPr>
              <w:pStyle w:val="5"/>
              <w:numPr>
                <w:ilvl w:val="4"/>
                <w:numId w:val="0"/>
              </w:numPr>
              <w:spacing w:before="0" w:after="0" w:line="240" w:lineRule="auto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EB2B8E" w:rsidRDefault="00EB2B8E">
            <w:pPr>
              <w:pStyle w:val="5"/>
              <w:numPr>
                <w:ilvl w:val="4"/>
                <w:numId w:val="0"/>
              </w:numPr>
              <w:spacing w:before="0" w:after="0" w:line="240" w:lineRule="auto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单价</w:t>
            </w:r>
          </w:p>
          <w:p w:rsidR="00EB2B8E" w:rsidRPr="00EB2B8E" w:rsidRDefault="00EB2B8E" w:rsidP="00EB2B8E">
            <w:pPr>
              <w:pStyle w:val="a3"/>
            </w:pPr>
            <w:r>
              <w:rPr>
                <w:rFonts w:hint="eastAsia"/>
              </w:rPr>
              <w:t>（每人</w:t>
            </w:r>
            <w:r>
              <w:t>每年</w:t>
            </w:r>
            <w:r>
              <w:rPr>
                <w:rFonts w:hint="eastAsia"/>
              </w:rPr>
              <w:t>的驻场</w:t>
            </w:r>
            <w:r>
              <w:t>运维价格</w:t>
            </w:r>
            <w:r>
              <w:rPr>
                <w:rFonts w:hint="eastAsia"/>
              </w:rPr>
              <w:t>）</w:t>
            </w:r>
          </w:p>
        </w:tc>
        <w:tc>
          <w:tcPr>
            <w:tcW w:w="0" w:type="auto"/>
          </w:tcPr>
          <w:p w:rsidR="00EB2B8E" w:rsidRDefault="00EB2B8E">
            <w:pPr>
              <w:pStyle w:val="5"/>
              <w:numPr>
                <w:ilvl w:val="4"/>
                <w:numId w:val="0"/>
              </w:numPr>
              <w:spacing w:before="0" w:after="0" w:line="240" w:lineRule="auto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总价</w:t>
            </w:r>
          </w:p>
        </w:tc>
      </w:tr>
      <w:tr w:rsidR="00EB2B8E" w:rsidTr="00EB2B8E">
        <w:trPr>
          <w:trHeight w:val="3213"/>
          <w:jc w:val="center"/>
        </w:trPr>
        <w:tc>
          <w:tcPr>
            <w:tcW w:w="0" w:type="auto"/>
            <w:vAlign w:val="center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终端设备运维</w:t>
            </w:r>
          </w:p>
        </w:tc>
        <w:tc>
          <w:tcPr>
            <w:tcW w:w="3446" w:type="dxa"/>
            <w:vAlign w:val="center"/>
          </w:tcPr>
          <w:p w:rsidR="00EB2B8E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1、具有同类相关工作</w:t>
            </w:r>
            <w:r w:rsidR="00B96852">
              <w:rPr>
                <w:rFonts w:ascii="宋体" w:eastAsia="宋体" w:hAnsi="宋体" w:cs="宋体" w:hint="eastAsia"/>
                <w:b w:val="0"/>
                <w:bCs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年以上工作经验。</w:t>
            </w:r>
          </w:p>
          <w:p w:rsidR="00EB2B8E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2、熟悉医院业务及相关终端设备、软件故障诊断和问题处理。</w:t>
            </w:r>
          </w:p>
          <w:p w:rsidR="00EB2B8E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3、工作日：提供5*8小时现场驻场服务；周末及节假日：需保证3名运维人员驻场，驻场时段参照工作日。</w:t>
            </w:r>
          </w:p>
          <w:p w:rsidR="00EB2B8E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4、详细服务要求见附件二</w:t>
            </w:r>
            <w:r w:rsidR="004844F3">
              <w:rPr>
                <w:rFonts w:ascii="宋体" w:eastAsia="宋体" w:hAnsi="宋体" w:cs="宋体" w:hint="eastAsia"/>
                <w:b w:val="0"/>
                <w:bCs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6人/年</w:t>
            </w:r>
          </w:p>
        </w:tc>
        <w:tc>
          <w:tcPr>
            <w:tcW w:w="1319" w:type="dxa"/>
            <w:vAlign w:val="center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</w:p>
        </w:tc>
      </w:tr>
      <w:tr w:rsidR="00EB2B8E" w:rsidTr="00EB2B8E">
        <w:trPr>
          <w:trHeight w:val="3104"/>
          <w:jc w:val="center"/>
        </w:trPr>
        <w:tc>
          <w:tcPr>
            <w:tcW w:w="0" w:type="auto"/>
            <w:vAlign w:val="center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B2B8E" w:rsidDel="00A56C4C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总院机房主要设备运维</w:t>
            </w:r>
          </w:p>
        </w:tc>
        <w:tc>
          <w:tcPr>
            <w:tcW w:w="3446" w:type="dxa"/>
            <w:vAlign w:val="center"/>
          </w:tcPr>
          <w:p w:rsidR="00EB2B8E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1、具有机房运维</w:t>
            </w:r>
            <w:r w:rsidR="002B368E">
              <w:rPr>
                <w:rFonts w:ascii="宋体" w:eastAsia="宋体" w:hAnsi="宋体" w:cs="宋体" w:hint="eastAsia"/>
                <w:b w:val="0"/>
                <w:bCs/>
                <w:szCs w:val="24"/>
              </w:rPr>
              <w:t>3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年以上工作经验。</w:t>
            </w:r>
          </w:p>
          <w:p w:rsidR="00EB2B8E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2、熟悉服务器、存储、交换机、路由器的运维及配置，能独立完成故障排查。</w:t>
            </w:r>
          </w:p>
          <w:p w:rsidR="00EB2B8E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3、工作时段：提供驻场运维服务；非工作时段，提供电话响应及远程支持，紧急情况须到现场进行运维。</w:t>
            </w:r>
          </w:p>
          <w:p w:rsidR="00EB2B8E" w:rsidRPr="00701917" w:rsidRDefault="00EB2B8E" w:rsidP="00EB2B8E">
            <w:pPr>
              <w:pStyle w:val="5"/>
              <w:spacing w:before="0" w:afterLines="50" w:line="240" w:lineRule="auto"/>
              <w:jc w:val="left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4、详细服务内容及要求见附件二。</w:t>
            </w:r>
          </w:p>
        </w:tc>
        <w:tc>
          <w:tcPr>
            <w:tcW w:w="1134" w:type="dxa"/>
            <w:vAlign w:val="center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1人/年</w:t>
            </w:r>
          </w:p>
        </w:tc>
        <w:tc>
          <w:tcPr>
            <w:tcW w:w="1319" w:type="dxa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</w:p>
        </w:tc>
        <w:tc>
          <w:tcPr>
            <w:tcW w:w="0" w:type="auto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</w:p>
        </w:tc>
      </w:tr>
      <w:tr w:rsidR="00EB2B8E" w:rsidTr="00EB2B8E">
        <w:trPr>
          <w:trHeight w:val="2679"/>
          <w:jc w:val="center"/>
        </w:trPr>
        <w:tc>
          <w:tcPr>
            <w:tcW w:w="0" w:type="auto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3</w:t>
            </w:r>
          </w:p>
        </w:tc>
        <w:tc>
          <w:tcPr>
            <w:tcW w:w="0" w:type="auto"/>
          </w:tcPr>
          <w:p w:rsidR="00EB2B8E" w:rsidRDefault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终端设备及总院机房主要设备维修配件供货</w:t>
            </w:r>
          </w:p>
        </w:tc>
        <w:tc>
          <w:tcPr>
            <w:tcW w:w="3446" w:type="dxa"/>
          </w:tcPr>
          <w:p w:rsidR="00EB2B8E" w:rsidRDefault="00946407">
            <w:pPr>
              <w:pStyle w:val="5"/>
              <w:numPr>
                <w:ilvl w:val="4"/>
                <w:numId w:val="0"/>
              </w:numPr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详见附件二</w:t>
            </w:r>
          </w:p>
        </w:tc>
        <w:tc>
          <w:tcPr>
            <w:tcW w:w="1134" w:type="dxa"/>
          </w:tcPr>
          <w:p w:rsidR="00EB2B8E" w:rsidRDefault="006B6411">
            <w:pPr>
              <w:pStyle w:val="5"/>
              <w:numPr>
                <w:ilvl w:val="4"/>
                <w:numId w:val="0"/>
              </w:numPr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多</w:t>
            </w:r>
            <w:r w:rsidR="00EB2B8E">
              <w:rPr>
                <w:rFonts w:ascii="宋体" w:eastAsia="宋体" w:hAnsi="宋体" w:cs="宋体" w:hint="eastAsia"/>
                <w:b w:val="0"/>
                <w:bCs/>
                <w:szCs w:val="24"/>
              </w:rPr>
              <w:t>项</w:t>
            </w: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（见</w:t>
            </w:r>
            <w:r>
              <w:rPr>
                <w:rFonts w:ascii="宋体" w:eastAsia="宋体" w:hAnsi="宋体" w:cs="宋体"/>
                <w:b w:val="0"/>
                <w:bCs/>
                <w:szCs w:val="24"/>
              </w:rPr>
              <w:t>附件三</w:t>
            </w: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）</w:t>
            </w:r>
          </w:p>
        </w:tc>
        <w:tc>
          <w:tcPr>
            <w:tcW w:w="2035" w:type="dxa"/>
            <w:gridSpan w:val="2"/>
          </w:tcPr>
          <w:p w:rsidR="00EB2B8E" w:rsidRDefault="00EB2B8E" w:rsidP="00EB2B8E">
            <w:pPr>
              <w:pStyle w:val="5"/>
              <w:jc w:val="center"/>
              <w:rPr>
                <w:rFonts w:ascii="宋体" w:eastAsia="宋体" w:hAnsi="宋体" w:cs="宋体"/>
                <w:b w:val="0"/>
                <w:bCs/>
                <w:szCs w:val="24"/>
              </w:rPr>
            </w:pPr>
            <w:r w:rsidRPr="00EB2B8E">
              <w:rPr>
                <w:rFonts w:ascii="宋体" w:eastAsia="宋体" w:hAnsi="宋体" w:cs="宋体"/>
                <w:b w:val="0"/>
                <w:bCs/>
                <w:szCs w:val="24"/>
              </w:rPr>
              <w:t>按照附件三</w:t>
            </w:r>
            <w:r w:rsidRPr="00EB2B8E">
              <w:rPr>
                <w:rFonts w:ascii="宋体" w:eastAsia="宋体" w:hAnsi="宋体" w:cs="宋体" w:hint="eastAsia"/>
                <w:b w:val="0"/>
                <w:bCs/>
                <w:szCs w:val="24"/>
              </w:rPr>
              <w:t>中</w:t>
            </w:r>
            <w:r w:rsidRPr="00EB2B8E">
              <w:rPr>
                <w:rFonts w:ascii="宋体" w:eastAsia="宋体" w:hAnsi="宋体" w:cs="宋体"/>
                <w:b w:val="0"/>
                <w:bCs/>
                <w:szCs w:val="24"/>
              </w:rPr>
              <w:t>的维修配件明细清单及预估数量，提供各维修配件的单价</w:t>
            </w:r>
            <w:r w:rsidRPr="00EB2B8E">
              <w:rPr>
                <w:rFonts w:ascii="宋体" w:eastAsia="宋体" w:hAnsi="宋体" w:cs="宋体" w:hint="eastAsia"/>
                <w:b w:val="0"/>
                <w:bCs/>
                <w:szCs w:val="24"/>
              </w:rPr>
              <w:t>以及</w:t>
            </w:r>
            <w:r w:rsidRPr="00EB2B8E">
              <w:rPr>
                <w:rFonts w:ascii="宋体" w:eastAsia="宋体" w:hAnsi="宋体" w:cs="宋体"/>
                <w:b w:val="0"/>
                <w:bCs/>
                <w:szCs w:val="24"/>
              </w:rPr>
              <w:t>总价</w:t>
            </w:r>
          </w:p>
        </w:tc>
      </w:tr>
    </w:tbl>
    <w:p w:rsidR="00D1602A" w:rsidRDefault="00D1602A">
      <w:pPr>
        <w:pStyle w:val="a3"/>
      </w:pPr>
    </w:p>
    <w:p w:rsidR="00DB33EE" w:rsidRDefault="00DB33EE">
      <w:pPr>
        <w:pStyle w:val="a3"/>
      </w:pPr>
    </w:p>
    <w:p w:rsidR="00D1602A" w:rsidRDefault="00717148" w:rsidP="00DB33EE">
      <w:pPr>
        <w:pStyle w:val="a8"/>
        <w:numPr>
          <w:ilvl w:val="0"/>
          <w:numId w:val="3"/>
        </w:numPr>
        <w:wordWrap w:val="0"/>
        <w:snapToGrid/>
        <w:spacing w:beforeLines="100" w:before="312" w:afterLines="100" w:after="312" w:line="240" w:lineRule="auto"/>
        <w:ind w:firstLineChars="0" w:firstLine="0"/>
        <w:jc w:val="lef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bookmarkStart w:id="1" w:name="_Toc1684"/>
      <w:bookmarkStart w:id="2" w:name="_Toc28932"/>
      <w:bookmarkStart w:id="3" w:name="_Toc27469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项目概述</w:t>
      </w:r>
    </w:p>
    <w:p w:rsidR="00D1602A" w:rsidRDefault="00717148" w:rsidP="00717148">
      <w:pPr>
        <w:pStyle w:val="a8"/>
        <w:wordWrap w:val="0"/>
        <w:snapToGrid/>
        <w:spacing w:line="440" w:lineRule="exact"/>
        <w:ind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宜宾市第二人民医院现有院区</w:t>
      </w:r>
      <w:r w:rsidR="00C41AF4">
        <w:rPr>
          <w:rFonts w:asciiTheme="minorEastAsia" w:eastAsiaTheme="minorEastAsia" w:hAnsiTheme="minorEastAsia" w:cstheme="minorEastAsia" w:hint="eastAsia"/>
          <w:sz w:val="24"/>
          <w:szCs w:val="24"/>
        </w:rPr>
        <w:t>8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个，分别是总院，南区，江北康复，肿瘤院区，南岸口腔中心，</w:t>
      </w:r>
      <w:r w:rsidR="00C41AF4">
        <w:rPr>
          <w:rFonts w:asciiTheme="minorEastAsia" w:eastAsiaTheme="minorEastAsia" w:hAnsiTheme="minorEastAsia" w:cstheme="minorEastAsia" w:hint="eastAsia"/>
          <w:sz w:val="24"/>
          <w:szCs w:val="24"/>
        </w:rPr>
        <w:t>临港感染，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临港妇儿及临港新院区。涉及院区较多，分布广，同时终端设备数超</w:t>
      </w:r>
      <w:r w:rsidR="00C41AF4">
        <w:rPr>
          <w:rFonts w:asciiTheme="minorEastAsia" w:eastAsiaTheme="minorEastAsia" w:hAnsiTheme="minorEastAsia" w:cstheme="minorEastAsia" w:hint="eastAsia"/>
          <w:sz w:val="24"/>
          <w:szCs w:val="24"/>
        </w:rPr>
        <w:t>2000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个以上。加之临港新院区</w:t>
      </w:r>
      <w:r w:rsidR="00C41AF4">
        <w:rPr>
          <w:rFonts w:asciiTheme="minorEastAsia" w:eastAsiaTheme="minorEastAsia" w:hAnsiTheme="minorEastAsia" w:cstheme="minorEastAsia" w:hint="eastAsia"/>
          <w:sz w:val="24"/>
          <w:szCs w:val="24"/>
        </w:rPr>
        <w:t>已开始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投入使用，信息化建设涉及内外网、无线、病房呼叫系统、门诊排队叫号、云桌面等信息化设备，系统的大量应用。为保证我院终端设备维护服务质量和速度，尽可能保证终端设备正常运行，</w:t>
      </w:r>
      <w:r w:rsidR="00C41AF4">
        <w:rPr>
          <w:rFonts w:asciiTheme="minorEastAsia" w:eastAsiaTheme="minorEastAsia" w:hAnsiTheme="minorEastAsia" w:cstheme="minorEastAsia" w:hint="eastAsia"/>
          <w:sz w:val="24"/>
          <w:szCs w:val="24"/>
        </w:rPr>
        <w:t>同时为保障新院区机房建成使用后总院机房主要设备的运维，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确保临床业务正常开展，我院拟采购终端设备</w:t>
      </w:r>
      <w:r w:rsidR="00DE4201">
        <w:rPr>
          <w:rFonts w:asciiTheme="minorEastAsia" w:eastAsiaTheme="minorEastAsia" w:hAnsiTheme="minorEastAsia" w:cstheme="minorEastAsia" w:hint="eastAsia"/>
          <w:sz w:val="24"/>
          <w:szCs w:val="24"/>
        </w:rPr>
        <w:t>以及总院机房主要设备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维护外包服务（终端配件</w:t>
      </w:r>
      <w:r w:rsidR="00DE4201">
        <w:rPr>
          <w:rFonts w:asciiTheme="minorEastAsia" w:eastAsiaTheme="minorEastAsia" w:hAnsiTheme="minorEastAsia" w:cstheme="minorEastAsia" w:hint="eastAsia"/>
          <w:sz w:val="24"/>
          <w:szCs w:val="24"/>
        </w:rPr>
        <w:t>以及总院机房主要设备配件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按照采购人提供的维修配件单价清单供货）。</w:t>
      </w:r>
    </w:p>
    <w:p w:rsidR="00DB33EE" w:rsidRDefault="00DB33EE" w:rsidP="00717148">
      <w:pPr>
        <w:pStyle w:val="a8"/>
        <w:wordWrap w:val="0"/>
        <w:snapToGrid/>
        <w:spacing w:line="440" w:lineRule="exact"/>
        <w:ind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D1602A" w:rsidRDefault="00717148" w:rsidP="00D13F3C">
      <w:pPr>
        <w:pStyle w:val="a8"/>
        <w:numPr>
          <w:ilvl w:val="0"/>
          <w:numId w:val="3"/>
        </w:numPr>
        <w:wordWrap w:val="0"/>
        <w:snapToGrid/>
        <w:spacing w:beforeLines="100" w:before="312" w:afterLines="100" w:after="312" w:line="240" w:lineRule="auto"/>
        <w:ind w:firstLineChars="0" w:firstLine="0"/>
        <w:jc w:val="lef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履约要求</w:t>
      </w:r>
    </w:p>
    <w:p w:rsidR="00D1602A" w:rsidRDefault="00717148">
      <w:pPr>
        <w:adjustRightInd/>
        <w:snapToGrid/>
        <w:ind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（一）服务能力</w:t>
      </w:r>
    </w:p>
    <w:p w:rsidR="00D1602A" w:rsidRDefault="00717148">
      <w:pPr>
        <w:adjustRightInd/>
        <w:snapToGrid/>
        <w:ind w:firstLineChars="200" w:firstLine="480"/>
        <w:jc w:val="both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>1.拟投入项目人员配置及专业技术能力(</w:t>
      </w:r>
      <w:r>
        <w:rPr>
          <w:rFonts w:asciiTheme="minorEastAsia" w:eastAsiaTheme="minorEastAsia" w:hAnsiTheme="minorEastAsia" w:cstheme="minorEastAsia" w:hint="eastAsia"/>
        </w:rPr>
        <w:t>拟投入本项目人员分工、联系方式、完成类似项目经验</w:t>
      </w:r>
      <w:r>
        <w:rPr>
          <w:rFonts w:asciiTheme="minorEastAsia" w:eastAsiaTheme="minorEastAsia" w:hAnsiTheme="minorEastAsia" w:cstheme="minorEastAsia" w:hint="eastAsia"/>
          <w:bCs/>
        </w:rPr>
        <w:t>)。</w:t>
      </w:r>
    </w:p>
    <w:p w:rsidR="00D1602A" w:rsidRDefault="00717148">
      <w:pPr>
        <w:adjustRightInd/>
        <w:snapToGrid/>
        <w:ind w:firstLineChars="200" w:firstLine="480"/>
        <w:jc w:val="both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>2.项目实施所需的设施设备(与本项目完成有关的软硬件配置，提供设施设备清单)。</w:t>
      </w:r>
    </w:p>
    <w:p w:rsidR="00D1602A" w:rsidRDefault="00717148">
      <w:pPr>
        <w:adjustRightInd/>
        <w:snapToGrid/>
        <w:ind w:firstLineChars="200" w:firstLine="480"/>
        <w:jc w:val="both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>3.其他有利于项目实施的承诺(由供应商自行提供)。</w:t>
      </w:r>
    </w:p>
    <w:p w:rsidR="00D1602A" w:rsidRDefault="00717148">
      <w:pPr>
        <w:pStyle w:val="a8"/>
        <w:wordWrap w:val="0"/>
        <w:adjustRightInd/>
        <w:snapToGrid/>
        <w:spacing w:line="440" w:lineRule="exact"/>
        <w:ind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（二）服务方案</w:t>
      </w:r>
    </w:p>
    <w:p w:rsidR="00D1602A" w:rsidRDefault="00717148">
      <w:pPr>
        <w:adjustRightInd/>
        <w:snapToGrid/>
        <w:ind w:firstLineChars="200" w:firstLine="480"/>
        <w:jc w:val="both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>1.</w:t>
      </w:r>
      <w:r>
        <w:rPr>
          <w:rFonts w:cs="宋体" w:hint="eastAsia"/>
          <w:bCs/>
        </w:rPr>
        <w:t>项目需求分析，应包含项目背景分析、项目范围、关键节点的分析应对等内容</w:t>
      </w:r>
      <w:r>
        <w:rPr>
          <w:rFonts w:asciiTheme="minorEastAsia" w:eastAsiaTheme="minorEastAsia" w:hAnsiTheme="minorEastAsia" w:cstheme="minorEastAsia" w:hint="eastAsia"/>
          <w:bCs/>
        </w:rPr>
        <w:t>。</w:t>
      </w:r>
    </w:p>
    <w:p w:rsidR="00D1602A" w:rsidRDefault="00717148">
      <w:pPr>
        <w:adjustRightInd/>
        <w:snapToGrid/>
        <w:ind w:firstLineChars="200" w:firstLine="480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bCs/>
        </w:rPr>
        <w:t>2.项目管理(包含日常管理、本项目管理制度和监督考核办法、内部控制管理、风险控制、质量保障措施等)。</w:t>
      </w:r>
    </w:p>
    <w:p w:rsidR="00D1602A" w:rsidRDefault="00717148">
      <w:pPr>
        <w:pStyle w:val="a8"/>
        <w:wordWrap w:val="0"/>
        <w:adjustRightInd/>
        <w:snapToGrid/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注：①供应商应当根据本项目实际情况提供真实、客观的履约能力证明材料。</w:t>
      </w:r>
    </w:p>
    <w:p w:rsidR="00D1602A" w:rsidRDefault="00717148">
      <w:pPr>
        <w:pStyle w:val="a8"/>
        <w:numPr>
          <w:ilvl w:val="255"/>
          <w:numId w:val="0"/>
        </w:numPr>
        <w:tabs>
          <w:tab w:val="left" w:pos="5100"/>
        </w:tabs>
        <w:wordWrap w:val="0"/>
        <w:adjustRightInd/>
        <w:snapToGrid/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②供应商应当保证所提交的所有材料的真实性，若提交虚假材料谋取成交的，应当将该供应商按失信行为记入诚信档案。</w:t>
      </w:r>
    </w:p>
    <w:p w:rsidR="00D1602A" w:rsidRDefault="00717148">
      <w:pPr>
        <w:pStyle w:val="022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③根据项目的实际需求和具体情况实事求是地编制，能具体量化，具有可行性及便于监督考核，不得违反法律、法规规定，不得夸大其词和空口许诺。</w:t>
      </w:r>
    </w:p>
    <w:p w:rsidR="00D1602A" w:rsidRDefault="00D1602A" w:rsidP="00401F46">
      <w:bookmarkStart w:id="4" w:name="_Hlt101846155"/>
      <w:bookmarkEnd w:id="1"/>
      <w:bookmarkEnd w:id="2"/>
      <w:bookmarkEnd w:id="3"/>
      <w:bookmarkEnd w:id="4"/>
    </w:p>
    <w:sectPr w:rsidR="00D1602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C9" w:rsidRDefault="00C00FC9">
      <w:pPr>
        <w:spacing w:line="240" w:lineRule="auto"/>
      </w:pPr>
      <w:r>
        <w:separator/>
      </w:r>
    </w:p>
  </w:endnote>
  <w:endnote w:type="continuationSeparator" w:id="0">
    <w:p w:rsidR="00C00FC9" w:rsidRDefault="00C00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15" w:rsidRDefault="00616D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6D15" w:rsidRDefault="00616D1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B36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16D15" w:rsidRDefault="00616D1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B36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C9" w:rsidRDefault="00C00FC9">
      <w:pPr>
        <w:spacing w:line="240" w:lineRule="auto"/>
      </w:pPr>
      <w:r>
        <w:separator/>
      </w:r>
    </w:p>
  </w:footnote>
  <w:footnote w:type="continuationSeparator" w:id="0">
    <w:p w:rsidR="00C00FC9" w:rsidRDefault="00C00F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99B1D4"/>
    <w:multiLevelType w:val="singleLevel"/>
    <w:tmpl w:val="AF99B1D4"/>
    <w:lvl w:ilvl="0">
      <w:start w:val="2"/>
      <w:numFmt w:val="decimal"/>
      <w:suff w:val="nothing"/>
      <w:lvlText w:val="%1、"/>
      <w:lvlJc w:val="left"/>
      <w:pPr>
        <w:ind w:left="480" w:firstLine="0"/>
      </w:pPr>
    </w:lvl>
  </w:abstractNum>
  <w:abstractNum w:abstractNumId="1" w15:restartNumberingAfterBreak="0">
    <w:nsid w:val="B04D8E0A"/>
    <w:multiLevelType w:val="multilevel"/>
    <w:tmpl w:val="B04D8E0A"/>
    <w:lvl w:ilvl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chineseCounting"/>
      <w:suff w:val="nothing"/>
      <w:lvlText w:val="%2、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"/>
      <w:pStyle w:val="171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decimal"/>
      <w:suff w:val="nothing"/>
      <w:lvlText w:val="%4.%5"/>
      <w:lvlJc w:val="left"/>
      <w:pPr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"/>
      <w:suff w:val="nothing"/>
      <w:lvlText w:val="(%6)"/>
      <w:lvlJc w:val="left"/>
      <w:pPr>
        <w:ind w:left="0" w:firstLine="0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 w15:restartNumberingAfterBreak="0">
    <w:nsid w:val="C6CA4DB7"/>
    <w:multiLevelType w:val="singleLevel"/>
    <w:tmpl w:val="C6CA4DB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YjQ3Mjg0YTU4ZGQ3NmU1OTUyOWFjZTk4N2U0MTQifQ=="/>
  </w:docVars>
  <w:rsids>
    <w:rsidRoot w:val="0ABC2838"/>
    <w:rsid w:val="0002028B"/>
    <w:rsid w:val="00087177"/>
    <w:rsid w:val="000D6A59"/>
    <w:rsid w:val="00102169"/>
    <w:rsid w:val="00216870"/>
    <w:rsid w:val="00295440"/>
    <w:rsid w:val="002B368E"/>
    <w:rsid w:val="002C4A3C"/>
    <w:rsid w:val="002E472B"/>
    <w:rsid w:val="00397B44"/>
    <w:rsid w:val="00401F46"/>
    <w:rsid w:val="004030DD"/>
    <w:rsid w:val="0043100B"/>
    <w:rsid w:val="004844F3"/>
    <w:rsid w:val="004F3620"/>
    <w:rsid w:val="00522E90"/>
    <w:rsid w:val="00616D15"/>
    <w:rsid w:val="0062577D"/>
    <w:rsid w:val="006409DB"/>
    <w:rsid w:val="006B6411"/>
    <w:rsid w:val="00701917"/>
    <w:rsid w:val="00717148"/>
    <w:rsid w:val="007328CA"/>
    <w:rsid w:val="00782177"/>
    <w:rsid w:val="0088062E"/>
    <w:rsid w:val="00937997"/>
    <w:rsid w:val="00946407"/>
    <w:rsid w:val="00A22034"/>
    <w:rsid w:val="00A23EE5"/>
    <w:rsid w:val="00A56C4C"/>
    <w:rsid w:val="00A73415"/>
    <w:rsid w:val="00A905D0"/>
    <w:rsid w:val="00AE4E53"/>
    <w:rsid w:val="00B410A9"/>
    <w:rsid w:val="00B96852"/>
    <w:rsid w:val="00BE3D3E"/>
    <w:rsid w:val="00C00FC9"/>
    <w:rsid w:val="00C03A44"/>
    <w:rsid w:val="00C26947"/>
    <w:rsid w:val="00C27F46"/>
    <w:rsid w:val="00C41AF4"/>
    <w:rsid w:val="00C92886"/>
    <w:rsid w:val="00D13F3C"/>
    <w:rsid w:val="00D1602A"/>
    <w:rsid w:val="00D7623E"/>
    <w:rsid w:val="00D83B35"/>
    <w:rsid w:val="00DB2D19"/>
    <w:rsid w:val="00DB33EE"/>
    <w:rsid w:val="00DE4201"/>
    <w:rsid w:val="00DE4430"/>
    <w:rsid w:val="00DF4D77"/>
    <w:rsid w:val="00EB2B8E"/>
    <w:rsid w:val="00EB664A"/>
    <w:rsid w:val="00FA104D"/>
    <w:rsid w:val="00FD338D"/>
    <w:rsid w:val="00FD670D"/>
    <w:rsid w:val="0AB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000F6"/>
  <w15:docId w15:val="{682CD81E-2860-40A6-BAC9-901F391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qFormat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styleId="a4">
    <w:name w:val="Body Text"/>
    <w:basedOn w:val="a"/>
    <w:next w:val="a"/>
    <w:qFormat/>
    <w:pPr>
      <w:spacing w:after="120"/>
    </w:pPr>
    <w:rPr>
      <w:rFonts w:ascii="Times New Roman"/>
    </w:rPr>
  </w:style>
  <w:style w:type="paragraph" w:styleId="a5">
    <w:name w:val="footer"/>
    <w:basedOn w:val="a"/>
    <w:pPr>
      <w:tabs>
        <w:tab w:val="clear" w:pos="0"/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0"/>
        <w:tab w:val="center" w:pos="4153"/>
        <w:tab w:val="right" w:pos="8306"/>
      </w:tabs>
      <w:spacing w:line="240" w:lineRule="auto"/>
      <w:jc w:val="both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正文首行缩进两字符"/>
    <w:basedOn w:val="a"/>
    <w:qFormat/>
    <w:pPr>
      <w:spacing w:line="360" w:lineRule="auto"/>
      <w:ind w:firstLineChars="200" w:firstLine="200"/>
      <w:jc w:val="both"/>
    </w:pPr>
    <w:rPr>
      <w:sz w:val="21"/>
      <w:szCs w:val="20"/>
    </w:rPr>
  </w:style>
  <w:style w:type="paragraph" w:customStyle="1" w:styleId="022">
    <w:name w:val="02、首行缩进2字符正文"/>
    <w:basedOn w:val="a"/>
    <w:qFormat/>
    <w:pPr>
      <w:wordWrap w:val="0"/>
      <w:topLinePunct/>
      <w:ind w:firstLineChars="200" w:firstLine="480"/>
    </w:pPr>
  </w:style>
  <w:style w:type="paragraph" w:customStyle="1" w:styleId="12">
    <w:name w:val="12、表格内左对齐正文"/>
    <w:basedOn w:val="a"/>
    <w:qFormat/>
    <w:pPr>
      <w:wordWrap w:val="0"/>
      <w:topLinePunct/>
      <w:spacing w:line="360" w:lineRule="exact"/>
      <w:ind w:leftChars="20" w:left="48"/>
    </w:pPr>
    <w:rPr>
      <w:snapToGrid w:val="0"/>
      <w:sz w:val="21"/>
    </w:rPr>
  </w:style>
  <w:style w:type="paragraph" w:customStyle="1" w:styleId="171">
    <w:name w:val="17“1.”四级标题"/>
    <w:basedOn w:val="022"/>
    <w:qFormat/>
    <w:pPr>
      <w:numPr>
        <w:ilvl w:val="3"/>
        <w:numId w:val="2"/>
      </w:numPr>
      <w:ind w:firstLine="803"/>
    </w:pPr>
  </w:style>
  <w:style w:type="paragraph" w:customStyle="1" w:styleId="2">
    <w:name w:val="样式 首行缩进:  2 字符"/>
    <w:basedOn w:val="a"/>
    <w:qFormat/>
    <w:pPr>
      <w:ind w:firstLineChars="200" w:firstLine="420"/>
      <w:jc w:val="both"/>
    </w:pPr>
    <w:rPr>
      <w:rFonts w:cs="宋体"/>
      <w:sz w:val="21"/>
      <w:szCs w:val="20"/>
    </w:rPr>
  </w:style>
  <w:style w:type="paragraph" w:customStyle="1" w:styleId="032">
    <w:name w:val="03、“注：”正文(加粗，首行缩进2字符)"/>
    <w:basedOn w:val="01"/>
    <w:qFormat/>
    <w:pPr>
      <w:ind w:firstLineChars="200" w:firstLine="480"/>
    </w:pPr>
    <w:rPr>
      <w:b/>
    </w:rPr>
  </w:style>
  <w:style w:type="paragraph" w:customStyle="1" w:styleId="01">
    <w:name w:val="01、普通正文"/>
    <w:basedOn w:val="a"/>
    <w:qFormat/>
    <w:pPr>
      <w:wordWrap w:val="0"/>
      <w:topLinePunct/>
    </w:pPr>
    <w:rPr>
      <w:snapToGrid w:val="0"/>
    </w:rPr>
  </w:style>
  <w:style w:type="character" w:styleId="a9">
    <w:name w:val="annotation reference"/>
    <w:basedOn w:val="a0"/>
    <w:rsid w:val="00717148"/>
    <w:rPr>
      <w:sz w:val="21"/>
      <w:szCs w:val="21"/>
    </w:rPr>
  </w:style>
  <w:style w:type="paragraph" w:styleId="aa">
    <w:name w:val="annotation text"/>
    <w:basedOn w:val="a"/>
    <w:link w:val="ab"/>
    <w:rsid w:val="00717148"/>
  </w:style>
  <w:style w:type="character" w:customStyle="1" w:styleId="ab">
    <w:name w:val="批注文字 字符"/>
    <w:basedOn w:val="a0"/>
    <w:link w:val="aa"/>
    <w:rsid w:val="00717148"/>
    <w:rPr>
      <w:rFonts w:ascii="宋体" w:hAnsi="宋体" w:cstheme="minorBidi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717148"/>
    <w:rPr>
      <w:b/>
      <w:bCs/>
    </w:rPr>
  </w:style>
  <w:style w:type="character" w:customStyle="1" w:styleId="ad">
    <w:name w:val="批注主题 字符"/>
    <w:basedOn w:val="ab"/>
    <w:link w:val="ac"/>
    <w:rsid w:val="00717148"/>
    <w:rPr>
      <w:rFonts w:ascii="宋体" w:hAnsi="宋体" w:cstheme="minorBidi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717148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rsid w:val="00717148"/>
    <w:rPr>
      <w:rFonts w:ascii="宋体" w:hAnsi="宋体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F3620"/>
    <w:pPr>
      <w:tabs>
        <w:tab w:val="clear" w:pos="0"/>
      </w:tabs>
      <w:adjustRightInd/>
      <w:snapToGrid/>
      <w:spacing w:line="240" w:lineRule="auto"/>
      <w:jc w:val="both"/>
    </w:pPr>
    <w:rPr>
      <w:rFonts w:cs="宋体"/>
      <w:sz w:val="21"/>
      <w:szCs w:val="22"/>
    </w:rPr>
  </w:style>
  <w:style w:type="paragraph" w:styleId="af0">
    <w:name w:val="Revision"/>
    <w:hidden/>
    <w:uiPriority w:val="99"/>
    <w:unhideWhenUsed/>
    <w:rsid w:val="00401F46"/>
    <w:rPr>
      <w:rFonts w:ascii="宋体" w:hAnsi="宋体" w:cstheme="minorBidi"/>
      <w:kern w:val="2"/>
      <w:sz w:val="24"/>
      <w:szCs w:val="24"/>
    </w:rPr>
  </w:style>
  <w:style w:type="paragraph" w:styleId="af1">
    <w:name w:val="List Paragraph"/>
    <w:basedOn w:val="a"/>
    <w:uiPriority w:val="99"/>
    <w:unhideWhenUsed/>
    <w:rsid w:val="00401F46"/>
    <w:pPr>
      <w:ind w:firstLineChars="200" w:firstLine="420"/>
    </w:pPr>
  </w:style>
  <w:style w:type="paragraph" w:styleId="af2">
    <w:name w:val="Subtitle"/>
    <w:basedOn w:val="a"/>
    <w:next w:val="a"/>
    <w:link w:val="af3"/>
    <w:qFormat/>
    <w:rsid w:val="00DB33EE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f3">
    <w:name w:val="副标题 字符"/>
    <w:basedOn w:val="a0"/>
    <w:link w:val="af2"/>
    <w:rsid w:val="00DB33EE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2032D-C373-4649-8943-1090114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WPS_1695085708</dc:creator>
  <cp:lastModifiedBy>ll</cp:lastModifiedBy>
  <cp:revision>35</cp:revision>
  <dcterms:created xsi:type="dcterms:W3CDTF">2023-09-22T06:23:00Z</dcterms:created>
  <dcterms:modified xsi:type="dcterms:W3CDTF">2024-03-25T00:36:00Z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A5D07C416A414D66994557695D3E833A_11</vt:lpwstr>
  </property>
</Properties>
</file>