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服务要求及商务要求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服务要求及商务要求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单一来源响应文件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0"/>
        </w:rPr>
        <w:t>文件服务要求及商务要求的内容有偏离(包括正偏离和负偏离)，请将偏离条款逐条应答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；响应文件如与招标文件服务要求及商务要求的内容无偏离，完全一致，则逐条应答后在偏离情况中备注“满足”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服务要求及商务要求要求据实填写，不得虚假应答，否则将取消其中标资格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04E205C"/>
    <w:rsid w:val="22F8223D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2</TotalTime>
  <ScaleCrop>false</ScaleCrop>
  <LinksUpToDate>false</LinksUpToDate>
  <CharactersWithSpaces>312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2025-02-17T07:06:00Z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